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47" w:rsidRDefault="00393AD3">
      <w:pPr>
        <w:pStyle w:val="Heading1"/>
        <w:spacing w:before="113" w:after="57" w:line="360" w:lineRule="auto"/>
        <w:jc w:val="both"/>
        <w:rPr>
          <w:rStyle w:val="Title1"/>
          <w:rFonts w:ascii="Times New Roman" w:hAnsi="Times New Roman"/>
          <w:i/>
          <w:color w:val="00000A"/>
        </w:rPr>
      </w:pPr>
      <w:r>
        <w:rPr>
          <w:rStyle w:val="Title1"/>
          <w:rFonts w:ascii="Times New Roman" w:hAnsi="Times New Roman"/>
          <w:color w:val="00000A"/>
        </w:rPr>
        <w:t xml:space="preserve">Entre </w:t>
      </w:r>
      <w:proofErr w:type="spellStart"/>
      <w:r>
        <w:rPr>
          <w:rStyle w:val="Title1"/>
          <w:rFonts w:ascii="Times New Roman" w:hAnsi="Times New Roman"/>
          <w:i/>
          <w:color w:val="00000A"/>
        </w:rPr>
        <w:t>copyleft</w:t>
      </w:r>
      <w:proofErr w:type="spellEnd"/>
      <w:r>
        <w:rPr>
          <w:rStyle w:val="Title1"/>
          <w:rFonts w:ascii="Times New Roman" w:hAnsi="Times New Roman"/>
          <w:color w:val="00000A"/>
        </w:rPr>
        <w:t xml:space="preserve"> y </w:t>
      </w:r>
      <w:proofErr w:type="spellStart"/>
      <w:r>
        <w:rPr>
          <w:rStyle w:val="Title1"/>
          <w:rFonts w:ascii="Times New Roman" w:hAnsi="Times New Roman"/>
          <w:i/>
          <w:color w:val="00000A"/>
        </w:rPr>
        <w:t>copyfarleft</w:t>
      </w:r>
      <w:proofErr w:type="spellEnd"/>
    </w:p>
    <w:p w:rsidR="00542547" w:rsidRDefault="00393AD3">
      <w:pPr>
        <w:spacing w:before="113" w:after="57" w:line="360" w:lineRule="auto"/>
        <w:jc w:val="both"/>
        <w:rPr>
          <w:rStyle w:val="Title1"/>
          <w:rFonts w:ascii="Times New Roman" w:hAnsi="Times New Roman"/>
          <w:sz w:val="24"/>
          <w:szCs w:val="24"/>
        </w:rPr>
      </w:pPr>
      <w:r>
        <w:rPr>
          <w:rStyle w:val="Title1"/>
          <w:rFonts w:ascii="Times New Roman" w:hAnsi="Times New Roman"/>
          <w:sz w:val="24"/>
          <w:szCs w:val="24"/>
        </w:rPr>
        <w:t>Buscando reciprocidad en el procomún</w:t>
      </w:r>
    </w:p>
    <w:p w:rsidR="00542547" w:rsidRDefault="00542547">
      <w:pPr>
        <w:spacing w:before="113" w:after="57" w:line="360" w:lineRule="auto"/>
        <w:jc w:val="both"/>
        <w:rPr>
          <w:rFonts w:ascii="Times New Roman" w:hAnsi="Times New Roman"/>
          <w:sz w:val="24"/>
          <w:szCs w:val="24"/>
        </w:rPr>
      </w:pPr>
    </w:p>
    <w:p w:rsidR="00542547" w:rsidRDefault="00393AD3">
      <w:pPr>
        <w:pStyle w:val="Heading3"/>
        <w:spacing w:before="113" w:after="57" w:line="360" w:lineRule="auto"/>
        <w:jc w:val="both"/>
        <w:rPr>
          <w:rFonts w:ascii="Times New Roman" w:eastAsia="Times New Roman" w:hAnsi="Times New Roman"/>
          <w:color w:val="00000A"/>
          <w:lang w:eastAsia="es-ES"/>
        </w:rPr>
      </w:pPr>
      <w:r>
        <w:rPr>
          <w:rFonts w:ascii="Times New Roman" w:eastAsia="Times New Roman" w:hAnsi="Times New Roman"/>
          <w:color w:val="00000A"/>
          <w:lang w:eastAsia="es-ES"/>
        </w:rPr>
        <w:t xml:space="preserve">Miguel Said Vieira &amp; Primavera De </w:t>
      </w:r>
      <w:proofErr w:type="spellStart"/>
      <w:r>
        <w:rPr>
          <w:rFonts w:ascii="Times New Roman" w:eastAsia="Times New Roman" w:hAnsi="Times New Roman"/>
          <w:color w:val="00000A"/>
          <w:lang w:eastAsia="es-ES"/>
        </w:rPr>
        <w:t>Filippi</w:t>
      </w:r>
      <w:proofErr w:type="spellEnd"/>
    </w:p>
    <w:p w:rsidR="00542547" w:rsidRDefault="00393AD3">
      <w:pPr>
        <w:spacing w:before="113" w:after="57" w:line="360" w:lineRule="auto"/>
        <w:jc w:val="both"/>
        <w:rPr>
          <w:rFonts w:ascii="Times New Roman" w:hAnsi="Times New Roman"/>
          <w:sz w:val="24"/>
          <w:szCs w:val="24"/>
        </w:rPr>
      </w:pPr>
      <w:r>
        <w:rPr>
          <w:rFonts w:ascii="Times New Roman" w:hAnsi="Times New Roman"/>
          <w:sz w:val="24"/>
          <w:szCs w:val="24"/>
        </w:rPr>
        <w:t>Traducción de Rocío del Amo, edición de Carmen Lozano Bright</w:t>
      </w:r>
    </w:p>
    <w:p w:rsidR="00542547" w:rsidRDefault="00542547">
      <w:pPr>
        <w:spacing w:before="113" w:after="57" w:line="360" w:lineRule="auto"/>
        <w:jc w:val="both"/>
        <w:rPr>
          <w:rFonts w:ascii="Times New Roman" w:hAnsi="Times New Roman"/>
          <w:sz w:val="24"/>
          <w:szCs w:val="24"/>
        </w:rPr>
      </w:pP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Introducción</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las discusiones académicas sobre «cultura libre» abundan los debates</w:t>
      </w:r>
      <w:r>
        <w:rPr>
          <w:rFonts w:ascii="Times New Roman" w:eastAsia="Times New Roman" w:hAnsi="Times New Roman" w:cs="Times New Roman"/>
          <w:sz w:val="24"/>
          <w:szCs w:val="24"/>
          <w:lang w:eastAsia="es-ES"/>
        </w:rPr>
        <w:t xml:space="preserve"> en torno a las licencias (ver, </w:t>
      </w:r>
      <w:proofErr w:type="spellStart"/>
      <w:r>
        <w:rPr>
          <w:rFonts w:ascii="Times New Roman" w:eastAsia="Times New Roman" w:hAnsi="Times New Roman" w:cs="Times New Roman"/>
          <w:sz w:val="24"/>
          <w:szCs w:val="24"/>
          <w:lang w:eastAsia="es-ES"/>
        </w:rPr>
        <w:t>a.i.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Downes</w:t>
      </w:r>
      <w:proofErr w:type="spellEnd"/>
      <w:r>
        <w:rPr>
          <w:rFonts w:ascii="Times New Roman" w:eastAsia="Times New Roman" w:hAnsi="Times New Roman" w:cs="Times New Roman"/>
          <w:sz w:val="24"/>
          <w:szCs w:val="24"/>
          <w:lang w:eastAsia="es-ES"/>
        </w:rPr>
        <w:t xml:space="preserve">, 2009; Hill, 2005; Lemos, 2010; </w:t>
      </w:r>
      <w:proofErr w:type="spellStart"/>
      <w:r>
        <w:rPr>
          <w:rFonts w:ascii="Times New Roman" w:eastAsia="Times New Roman" w:hAnsi="Times New Roman" w:cs="Times New Roman"/>
          <w:sz w:val="24"/>
          <w:szCs w:val="24"/>
          <w:lang w:eastAsia="es-ES"/>
        </w:rPr>
        <w:t>Netpop</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Research</w:t>
      </w:r>
      <w:proofErr w:type="spellEnd"/>
      <w:r>
        <w:rPr>
          <w:rFonts w:ascii="Times New Roman" w:eastAsia="Times New Roman" w:hAnsi="Times New Roman" w:cs="Times New Roman"/>
          <w:sz w:val="24"/>
          <w:szCs w:val="24"/>
          <w:lang w:eastAsia="es-ES"/>
        </w:rPr>
        <w:t xml:space="preserve">, 2009; UNESCO OER </w:t>
      </w:r>
      <w:proofErr w:type="spellStart"/>
      <w:r>
        <w:rPr>
          <w:rFonts w:ascii="Times New Roman" w:eastAsia="Times New Roman" w:hAnsi="Times New Roman" w:cs="Times New Roman"/>
          <w:sz w:val="24"/>
          <w:szCs w:val="24"/>
          <w:lang w:eastAsia="es-ES"/>
        </w:rPr>
        <w:t>Community</w:t>
      </w:r>
      <w:proofErr w:type="spellEnd"/>
      <w:r>
        <w:rPr>
          <w:rFonts w:ascii="Times New Roman" w:eastAsia="Times New Roman" w:hAnsi="Times New Roman" w:cs="Times New Roman"/>
          <w:sz w:val="24"/>
          <w:szCs w:val="24"/>
          <w:lang w:eastAsia="es-ES"/>
        </w:rPr>
        <w:t xml:space="preserve">, 2011), pero creemos que la mayoría padece alguno de los siguientes problemas. Primero, se restringen a un enfoque puramente técnico y </w:t>
      </w:r>
      <w:r>
        <w:rPr>
          <w:rFonts w:ascii="Times New Roman" w:eastAsia="Times New Roman" w:hAnsi="Times New Roman" w:cs="Times New Roman"/>
          <w:sz w:val="24"/>
          <w:szCs w:val="24"/>
          <w:lang w:eastAsia="es-ES"/>
        </w:rPr>
        <w:t>legal;  importante y necesario para mejorarlas pero no es suficiente para abordar el impacto social y las ramificaciones de dichas licencias. Segundo, adoptan un tratamiento dualista y excesivamente antagonista, en especial respecto al debate sobre los uso</w:t>
      </w:r>
      <w:r>
        <w:rPr>
          <w:rFonts w:ascii="Times New Roman" w:eastAsia="Times New Roman" w:hAnsi="Times New Roman" w:cs="Times New Roman"/>
          <w:sz w:val="24"/>
          <w:szCs w:val="24"/>
          <w:lang w:eastAsia="es-ES"/>
        </w:rPr>
        <w:t>s comerciales. Este debate trata aspectos importantes, pero</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 menudo lleva a un callejón sin salida (debido a su carácter polarizado) antes de que sea posible profundizar significativamente en el conocimiento que tenemos sobre estos temas y en la </w:t>
      </w:r>
      <w:r>
        <w:rPr>
          <w:rFonts w:ascii="Times New Roman" w:eastAsia="Times New Roman" w:hAnsi="Times New Roman" w:cs="Times New Roman"/>
          <w:sz w:val="24"/>
          <w:szCs w:val="24"/>
          <w:lang w:eastAsia="es-ES"/>
        </w:rPr>
        <w:t>coordinación de esfuerzos para mejorar nuestro patrimonio común de conocimientos.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modelo de licencia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es una propuesta concreta relacionada con la controversia sobre los usos comerciales. Sugiere un modo de mejorar las «cláusulas no comercial</w:t>
      </w:r>
      <w:r>
        <w:rPr>
          <w:rFonts w:ascii="Times New Roman" w:eastAsia="Times New Roman" w:hAnsi="Times New Roman" w:cs="Times New Roman"/>
          <w:sz w:val="24"/>
          <w:szCs w:val="24"/>
          <w:lang w:eastAsia="es-ES"/>
        </w:rPr>
        <w:t>es». Se puede decir que se hacen más efectivas a la hora de minimizar su impacto social negativo. Por ejemplo, en la explotación</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del trabajo asalariado en la construcción de patrimonio común. Creemos que se trata de una contribución interesante, sobre todo</w:t>
      </w:r>
      <w:r>
        <w:rPr>
          <w:rFonts w:ascii="Times New Roman" w:eastAsia="Times New Roman" w:hAnsi="Times New Roman" w:cs="Times New Roman"/>
          <w:sz w:val="24"/>
          <w:szCs w:val="24"/>
          <w:lang w:eastAsia="es-ES"/>
        </w:rPr>
        <w:t xml:space="preserve"> para evitar los problemas ya mencionados, pero que también tiene inconvenientes potenciales. En este documento de posición se comentarán estas desventajas (así como algunos de sus méritos) y se propondrá un modelo alternativo o complementario que trate de</w:t>
      </w:r>
      <w:r>
        <w:rPr>
          <w:rFonts w:ascii="Times New Roman" w:eastAsia="Times New Roman" w:hAnsi="Times New Roman" w:cs="Times New Roman"/>
          <w:sz w:val="24"/>
          <w:szCs w:val="24"/>
          <w:lang w:eastAsia="es-ES"/>
        </w:rPr>
        <w:t xml:space="preserve"> resolver algunos de los escollos.</w:t>
      </w:r>
    </w:p>
    <w:p w:rsidR="00542547" w:rsidRDefault="00393AD3">
      <w:pPr>
        <w:pStyle w:val="Heading2"/>
        <w:spacing w:before="113" w:after="57" w:line="360" w:lineRule="auto"/>
        <w:jc w:val="both"/>
        <w:rPr>
          <w:rFonts w:ascii="Times New Roman" w:hAnsi="Times New Roman"/>
          <w:b/>
          <w:bCs/>
          <w:i/>
          <w:sz w:val="24"/>
          <w:szCs w:val="24"/>
        </w:rPr>
      </w:pPr>
      <w:r>
        <w:rPr>
          <w:rFonts w:ascii="Times New Roman" w:hAnsi="Times New Roman"/>
          <w:b/>
          <w:bCs/>
          <w:sz w:val="24"/>
          <w:szCs w:val="24"/>
        </w:rPr>
        <w:t xml:space="preserve">Del </w:t>
      </w:r>
      <w:proofErr w:type="spellStart"/>
      <w:r>
        <w:rPr>
          <w:rFonts w:ascii="Times New Roman" w:hAnsi="Times New Roman"/>
          <w:b/>
          <w:bCs/>
          <w:i/>
          <w:sz w:val="24"/>
          <w:szCs w:val="24"/>
        </w:rPr>
        <w:t>copyleft</w:t>
      </w:r>
      <w:proofErr w:type="spellEnd"/>
      <w:r>
        <w:rPr>
          <w:rFonts w:ascii="Times New Roman" w:hAnsi="Times New Roman"/>
          <w:b/>
          <w:bCs/>
          <w:sz w:val="24"/>
          <w:szCs w:val="24"/>
        </w:rPr>
        <w:t xml:space="preserve"> al </w:t>
      </w:r>
      <w:proofErr w:type="spellStart"/>
      <w:r>
        <w:rPr>
          <w:rFonts w:ascii="Times New Roman" w:hAnsi="Times New Roman"/>
          <w:b/>
          <w:bCs/>
          <w:i/>
          <w:sz w:val="24"/>
          <w:szCs w:val="24"/>
        </w:rPr>
        <w:t>copyfarleft</w:t>
      </w:r>
      <w:proofErr w:type="spellEnd"/>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licencias de cultura libre han tenido como predecesora más importante la licencia GPL (GNU General </w:t>
      </w:r>
      <w:proofErr w:type="spellStart"/>
      <w:r>
        <w:rPr>
          <w:rFonts w:ascii="Times New Roman" w:eastAsia="Times New Roman" w:hAnsi="Times New Roman" w:cs="Times New Roman"/>
          <w:sz w:val="24"/>
          <w:szCs w:val="24"/>
          <w:lang w:eastAsia="es-ES"/>
        </w:rPr>
        <w:t>Public</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License</w:t>
      </w:r>
      <w:proofErr w:type="spellEnd"/>
      <w:r>
        <w:rPr>
          <w:rFonts w:ascii="Times New Roman" w:eastAsia="Times New Roman" w:hAnsi="Times New Roman" w:cs="Times New Roman"/>
          <w:sz w:val="24"/>
          <w:szCs w:val="24"/>
          <w:lang w:eastAsia="es-ES"/>
        </w:rPr>
        <w:t xml:space="preserve">) aplicada al software libre, que no hace distinción </w:t>
      </w:r>
      <w:r>
        <w:rPr>
          <w:rFonts w:ascii="Times New Roman" w:eastAsia="Times New Roman" w:hAnsi="Times New Roman" w:cs="Times New Roman"/>
          <w:sz w:val="24"/>
          <w:szCs w:val="24"/>
          <w:lang w:eastAsia="es-ES"/>
        </w:rPr>
        <w:lastRenderedPageBreak/>
        <w:t>respecto a los usos com</w:t>
      </w:r>
      <w:r>
        <w:rPr>
          <w:rFonts w:ascii="Times New Roman" w:eastAsia="Times New Roman" w:hAnsi="Times New Roman" w:cs="Times New Roman"/>
          <w:sz w:val="24"/>
          <w:szCs w:val="24"/>
          <w:lang w:eastAsia="es-ES"/>
        </w:rPr>
        <w:t xml:space="preserve">erciales o no comerciales. Esta distinción apareció por primera vez en algunas licencias </w:t>
      </w:r>
      <w:proofErr w:type="spellStart"/>
      <w:r>
        <w:rPr>
          <w:rFonts w:ascii="Times New Roman" w:eastAsia="Times New Roman" w:hAnsi="Times New Roman" w:cs="Times New Roman"/>
          <w:sz w:val="24"/>
          <w:szCs w:val="24"/>
          <w:lang w:eastAsia="es-ES"/>
        </w:rPr>
        <w:t>Creative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con la introducción de la cláusula no comercial que solo permite el uso sin autorización para una explotación no comercial. Mientras que estas licenci</w:t>
      </w:r>
      <w:r>
        <w:rPr>
          <w:rFonts w:ascii="Times New Roman" w:eastAsia="Times New Roman" w:hAnsi="Times New Roman" w:cs="Times New Roman"/>
          <w:sz w:val="24"/>
          <w:szCs w:val="24"/>
          <w:lang w:eastAsia="es-ES"/>
        </w:rPr>
        <w:t>as se utilizan ampliamente, ha habido un gran debate respecto a lo que constituye exactamente un uso comercial y si en última instancia la cláusula no comercial beneficia realmente</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al patrimonio común de conocimientos.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sistema de licencias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p</w:t>
      </w:r>
      <w:r>
        <w:rPr>
          <w:rFonts w:ascii="Times New Roman" w:eastAsia="Times New Roman" w:hAnsi="Times New Roman" w:cs="Times New Roman"/>
          <w:sz w:val="24"/>
          <w:szCs w:val="24"/>
          <w:lang w:eastAsia="es-ES"/>
        </w:rPr>
        <w:t xml:space="preserve">ropuesto por </w:t>
      </w:r>
      <w:proofErr w:type="spellStart"/>
      <w:r>
        <w:rPr>
          <w:rFonts w:ascii="Times New Roman" w:eastAsia="Times New Roman" w:hAnsi="Times New Roman" w:cs="Times New Roman"/>
          <w:sz w:val="24"/>
          <w:szCs w:val="24"/>
          <w:lang w:eastAsia="es-ES"/>
        </w:rPr>
        <w:t>Dmytri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(2007) [1] estipula unas restricciones similares a las del modelo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no comercial pero también condiciones adicionales sobre los tipos de uso que están efectivamente permitidos bajo esta licencia. Concretamente, mientras q</w:t>
      </w:r>
      <w:r>
        <w:rPr>
          <w:rFonts w:ascii="Times New Roman" w:eastAsia="Times New Roman" w:hAnsi="Times New Roman" w:cs="Times New Roman"/>
          <w:sz w:val="24"/>
          <w:szCs w:val="24"/>
          <w:lang w:eastAsia="es-ES"/>
        </w:rPr>
        <w:t xml:space="preserve">ue unas permiten todos los usos no comerciales (sujetos a las restricciones impuestas por la cláusula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distingue entre usos comerciales ejecutados por colectivos y cooperativas propiedad de los trabajadores o por cualquier o</w:t>
      </w:r>
      <w:r>
        <w:rPr>
          <w:rFonts w:ascii="Times New Roman" w:eastAsia="Times New Roman" w:hAnsi="Times New Roman" w:cs="Times New Roman"/>
          <w:sz w:val="24"/>
          <w:szCs w:val="24"/>
          <w:lang w:eastAsia="es-ES"/>
        </w:rPr>
        <w:t>tra institución en la que los beneficios se distribuyan  entre todos los trabajadores (equitativamente, se entiende); y los usos ejecutados por entidades o corporaciones comerciales cuyos negocios se basen exclusivamente en la explotación del trabajo asala</w:t>
      </w:r>
      <w:r>
        <w:rPr>
          <w:rFonts w:ascii="Times New Roman" w:eastAsia="Times New Roman" w:hAnsi="Times New Roman" w:cs="Times New Roman"/>
          <w:sz w:val="24"/>
          <w:szCs w:val="24"/>
          <w:lang w:eastAsia="es-ES"/>
        </w:rPr>
        <w:t xml:space="preserve">riado. Mientras que el primer tipo de aprovechamiento comercial se permite generalmente bajo el esquema de licencia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(al contrario de lo que normalmente es el caso con las licencias no comerciales), los otros tipos siguen prohibidos, aunque aún </w:t>
      </w:r>
      <w:r>
        <w:rPr>
          <w:rFonts w:ascii="Times New Roman" w:eastAsia="Times New Roman" w:hAnsi="Times New Roman" w:cs="Times New Roman"/>
          <w:sz w:val="24"/>
          <w:szCs w:val="24"/>
          <w:lang w:eastAsia="es-ES"/>
        </w:rPr>
        <w:t>se pueden negociar fuera del ámbito de la licencia.</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Este sistema de licencias se encuentra, por lo tanto, en algún lugar entre una licencia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estándar (como en las </w:t>
      </w:r>
      <w:proofErr w:type="spellStart"/>
      <w:r>
        <w:rPr>
          <w:rFonts w:ascii="Times New Roman" w:eastAsia="Times New Roman" w:hAnsi="Times New Roman" w:cs="Times New Roman"/>
          <w:sz w:val="24"/>
          <w:szCs w:val="24"/>
          <w:lang w:eastAsia="es-ES"/>
        </w:rPr>
        <w:t>Creative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CC-BY-SA) y una licencia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no comercial (como las CC-BY-NC-SA</w:t>
      </w:r>
      <w:r>
        <w:rPr>
          <w:rFonts w:ascii="Times New Roman" w:eastAsia="Times New Roman" w:hAnsi="Times New Roman" w:cs="Times New Roman"/>
          <w:sz w:val="24"/>
          <w:szCs w:val="24"/>
          <w:lang w:eastAsia="es-ES"/>
        </w:rPr>
        <w:t xml:space="preserve">). Esta elección responde a las siguientes razones. Una licencia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estándar permite a entidades corporativas explotar y beneficiarse del trabajo empleado en construir el patrimonio común, sin tener que retribuir nada –algo que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señala como mu</w:t>
      </w:r>
      <w:r>
        <w:rPr>
          <w:rFonts w:ascii="Times New Roman" w:eastAsia="Times New Roman" w:hAnsi="Times New Roman" w:cs="Times New Roman"/>
          <w:sz w:val="24"/>
          <w:szCs w:val="24"/>
          <w:lang w:eastAsia="es-ES"/>
        </w:rPr>
        <w:t>y problemático, especialmente fuera del ámbito de la producción de software [2</w:t>
      </w:r>
      <w:proofErr w:type="gramStart"/>
      <w:r>
        <w:rPr>
          <w:rFonts w:ascii="Times New Roman" w:eastAsia="Times New Roman" w:hAnsi="Times New Roman" w:cs="Times New Roman"/>
          <w:sz w:val="24"/>
          <w:szCs w:val="24"/>
          <w:lang w:eastAsia="es-ES"/>
        </w:rPr>
        <w:t>]–</w:t>
      </w:r>
      <w:proofErr w:type="gramEnd"/>
      <w:r>
        <w:rPr>
          <w:rFonts w:ascii="Times New Roman" w:eastAsia="Times New Roman" w:hAnsi="Times New Roman" w:cs="Times New Roman"/>
          <w:sz w:val="24"/>
          <w:szCs w:val="24"/>
          <w:lang w:eastAsia="es-ES"/>
        </w:rPr>
        <w:t>. Una licencia no comercial excluye incluso a productores que basan su trabajo en el procomún (como muchas empresas propiedad de los trabajadores) de explotar comercialmente un</w:t>
      </w:r>
      <w:r>
        <w:rPr>
          <w:rFonts w:ascii="Times New Roman" w:eastAsia="Times New Roman" w:hAnsi="Times New Roman" w:cs="Times New Roman"/>
          <w:sz w:val="24"/>
          <w:szCs w:val="24"/>
          <w:lang w:eastAsia="es-ES"/>
        </w:rPr>
        <w:t xml:space="preserve">a obra (y como argumenta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esto puede ser contraproducente para el potencial transformador de estas licencias).</w:t>
      </w: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A. Ventajas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 acortar la distancia entre los regímenes de licencias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estándar y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no comercial,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permite determinadas explotaciones comerciales de los trabajos que puedan ayudar a sustentar a los creadores y a fomentar un «ecosistema» </w:t>
      </w:r>
      <w:proofErr w:type="gramStart"/>
      <w:r>
        <w:rPr>
          <w:rFonts w:ascii="Times New Roman" w:eastAsia="Times New Roman" w:hAnsi="Times New Roman" w:cs="Times New Roman"/>
          <w:sz w:val="24"/>
          <w:szCs w:val="24"/>
          <w:lang w:eastAsia="es-ES"/>
        </w:rPr>
        <w:lastRenderedPageBreak/>
        <w:t>descentralizado</w:t>
      </w:r>
      <w:proofErr w:type="gramEnd"/>
      <w:r>
        <w:rPr>
          <w:rFonts w:ascii="Times New Roman" w:eastAsia="Times New Roman" w:hAnsi="Times New Roman" w:cs="Times New Roman"/>
          <w:sz w:val="24"/>
          <w:szCs w:val="24"/>
          <w:lang w:eastAsia="es-ES"/>
        </w:rPr>
        <w:t xml:space="preserve"> de productores </w:t>
      </w:r>
      <w:proofErr w:type="spellStart"/>
      <w:r>
        <w:rPr>
          <w:rFonts w:ascii="Times New Roman" w:eastAsia="Times New Roman" w:hAnsi="Times New Roman" w:cs="Times New Roman"/>
          <w:sz w:val="24"/>
          <w:szCs w:val="24"/>
          <w:lang w:eastAsia="es-ES"/>
        </w:rPr>
        <w:t>autoorganizados</w:t>
      </w:r>
      <w:proofErr w:type="spellEnd"/>
      <w:r>
        <w:rPr>
          <w:rFonts w:ascii="Times New Roman" w:eastAsia="Times New Roman" w:hAnsi="Times New Roman" w:cs="Times New Roman"/>
          <w:sz w:val="24"/>
          <w:szCs w:val="24"/>
          <w:lang w:eastAsia="es-ES"/>
        </w:rPr>
        <w:t xml:space="preserve"> y apoyados en el procomún que poseen sus propios medios de producción.</w:t>
      </w:r>
      <w:r>
        <w:rPr>
          <w:rFonts w:ascii="Times New Roman" w:eastAsia="Times New Roman" w:hAnsi="Times New Roman" w:cs="Times New Roman"/>
          <w:sz w:val="24"/>
          <w:szCs w:val="24"/>
          <w:lang w:eastAsia="es-ES"/>
        </w:rPr>
        <w:t xml:space="preserve"> Al mismo tiempo,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descarta que cualquier entidad comercial que opere en base a la explotación del trabajo asalariado pueda aprovecharse. Además, el modelo no discrimina la actividad comercial </w:t>
      </w:r>
      <w:r>
        <w:rPr>
          <w:rFonts w:ascii="Times New Roman" w:eastAsia="Times New Roman" w:hAnsi="Times New Roman" w:cs="Times New Roman"/>
          <w:i/>
          <w:sz w:val="24"/>
          <w:szCs w:val="24"/>
          <w:lang w:eastAsia="es-ES"/>
        </w:rPr>
        <w:t>per se</w:t>
      </w:r>
      <w:r>
        <w:rPr>
          <w:rFonts w:ascii="Times New Roman" w:eastAsia="Times New Roman" w:hAnsi="Times New Roman" w:cs="Times New Roman"/>
          <w:sz w:val="24"/>
          <w:szCs w:val="24"/>
          <w:lang w:eastAsia="es-ES"/>
        </w:rPr>
        <w:t>: al igual que en gran parte del ámb</w:t>
      </w:r>
      <w:r>
        <w:rPr>
          <w:rFonts w:ascii="Times New Roman" w:eastAsia="Times New Roman" w:hAnsi="Times New Roman" w:cs="Times New Roman"/>
          <w:sz w:val="24"/>
          <w:szCs w:val="24"/>
          <w:lang w:eastAsia="es-ES"/>
        </w:rPr>
        <w:t>ito del software libre, se considera el comercio como un elemento importante para la viabilidad a largo plazo de la producción basada en el desarrollo común. Lo que discrimina es la explotación del trabajo asalariado por quienes poseen el capital y los med</w:t>
      </w:r>
      <w:r>
        <w:rPr>
          <w:rFonts w:ascii="Times New Roman" w:eastAsia="Times New Roman" w:hAnsi="Times New Roman" w:cs="Times New Roman"/>
          <w:sz w:val="24"/>
          <w:szCs w:val="24"/>
          <w:lang w:eastAsia="es-ES"/>
        </w:rPr>
        <w:t xml:space="preserve">ios de producción. De hecho, la concentración de la propiedad está considerada por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como uno de los pilares de la desigualdad esencial que caracteriza el capitalismo existente: «Allí donde la propiedad es soberana, los dueños de propiedades escasas </w:t>
      </w:r>
      <w:r>
        <w:rPr>
          <w:rFonts w:ascii="Times New Roman" w:eastAsia="Times New Roman" w:hAnsi="Times New Roman" w:cs="Times New Roman"/>
          <w:sz w:val="24"/>
          <w:szCs w:val="24"/>
          <w:lang w:eastAsia="es-ES"/>
        </w:rPr>
        <w:t>pueden llegar a negar la vida denegando el acceso a la propiedad. Incluso permitiendo la vida, convierten a los trabajadores en esclavos sin remuneración más allá de sus propios costes de reproducción».</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Este modelo (nos) parece una alternativa interesante </w:t>
      </w:r>
      <w:r>
        <w:rPr>
          <w:rFonts w:ascii="Times New Roman" w:eastAsia="Times New Roman" w:hAnsi="Times New Roman" w:cs="Times New Roman"/>
          <w:sz w:val="24"/>
          <w:szCs w:val="24"/>
          <w:lang w:eastAsia="es-ES"/>
        </w:rPr>
        <w:t>al punto muerto en el que se suelen estancar los debates sobre licencias comerciales frente a no comerciales. Además,</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amplía las oportunidades para que los trabajadores subsistan gracias a la </w:t>
      </w:r>
      <w:proofErr w:type="spellStart"/>
      <w:r>
        <w:rPr>
          <w:rFonts w:ascii="Times New Roman" w:eastAsia="Times New Roman" w:hAnsi="Times New Roman" w:cs="Times New Roman"/>
          <w:sz w:val="24"/>
          <w:szCs w:val="24"/>
          <w:lang w:eastAsia="es-ES"/>
        </w:rPr>
        <w:t>autoorganización</w:t>
      </w:r>
      <w:proofErr w:type="spellEnd"/>
      <w:r>
        <w:rPr>
          <w:rFonts w:ascii="Times New Roman" w:eastAsia="Times New Roman" w:hAnsi="Times New Roman" w:cs="Times New Roman"/>
          <w:sz w:val="24"/>
          <w:szCs w:val="24"/>
          <w:lang w:eastAsia="es-ES"/>
        </w:rPr>
        <w:t>, con una menor dependencia del trabajo asalaria</w:t>
      </w:r>
      <w:r>
        <w:rPr>
          <w:rFonts w:ascii="Times New Roman" w:eastAsia="Times New Roman" w:hAnsi="Times New Roman" w:cs="Times New Roman"/>
          <w:sz w:val="24"/>
          <w:szCs w:val="24"/>
          <w:lang w:eastAsia="es-ES"/>
        </w:rPr>
        <w:t xml:space="preserve">do en entidades corporativas y, por lo tanto, una reducción de la capacidad de estas corporaciones para comisionar y/o influenciar la producción basada en el procomún [3]. Aun así, el modelo de licencia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no está exento de inconvenientes, algunos</w:t>
      </w:r>
      <w:r>
        <w:rPr>
          <w:rFonts w:ascii="Times New Roman" w:eastAsia="Times New Roman" w:hAnsi="Times New Roman" w:cs="Times New Roman"/>
          <w:sz w:val="24"/>
          <w:szCs w:val="24"/>
          <w:lang w:eastAsia="es-ES"/>
        </w:rPr>
        <w:t xml:space="preserve"> de los cuales se analizan a continuación.</w:t>
      </w: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B. Inconvenientes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Esta sección explora la conexión entre la (des)mercantilización y las licencias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analizando algunas de las críticas a las que han estado sujetas, tales como: el riesgo de dificultar re</w:t>
      </w:r>
      <w:r>
        <w:rPr>
          <w:rFonts w:ascii="Times New Roman" w:eastAsia="Times New Roman" w:hAnsi="Times New Roman" w:cs="Times New Roman"/>
          <w:sz w:val="24"/>
          <w:szCs w:val="24"/>
          <w:lang w:eastAsia="es-ES"/>
        </w:rPr>
        <w:t>almente el procomún a causa de la exclusión discrecional de entidades corporativas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el hecho de que exitosos proyectos ya existentes basados en el patrimonio común no presenten este tipo de criterios de exclusión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y finalmente el </w:t>
      </w:r>
      <w:r>
        <w:rPr>
          <w:rFonts w:ascii="Times New Roman" w:eastAsia="Times New Roman" w:hAnsi="Times New Roman" w:cs="Times New Roman"/>
          <w:sz w:val="24"/>
          <w:szCs w:val="24"/>
          <w:lang w:eastAsia="es-ES"/>
        </w:rPr>
        <w:t>enfoque excesivo en la propiedad en vez de en las estructuras de producción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w:t>
      </w:r>
    </w:p>
    <w:p w:rsidR="00542547" w:rsidRDefault="00542547">
      <w:pPr>
        <w:spacing w:before="113" w:after="57" w:line="360" w:lineRule="auto"/>
        <w:jc w:val="both"/>
        <w:rPr>
          <w:rFonts w:ascii="Times New Roman" w:hAnsi="Times New Roman"/>
          <w:sz w:val="24"/>
          <w:szCs w:val="24"/>
        </w:rPr>
      </w:pPr>
    </w:p>
    <w:p w:rsidR="00542547" w:rsidRDefault="00393AD3">
      <w:pPr>
        <w:pStyle w:val="Heading3"/>
        <w:spacing w:before="113" w:after="57" w:line="360" w:lineRule="auto"/>
        <w:jc w:val="both"/>
        <w:rPr>
          <w:rFonts w:ascii="Times New Roman" w:eastAsia="Times New Roman" w:hAnsi="Times New Roman"/>
          <w:b/>
          <w:bCs/>
          <w:color w:val="00000A"/>
          <w:lang w:eastAsia="es-ES"/>
        </w:rPr>
      </w:pPr>
      <w:r>
        <w:rPr>
          <w:rFonts w:ascii="Times New Roman" w:eastAsia="Times New Roman" w:hAnsi="Times New Roman"/>
          <w:b/>
          <w:bCs/>
          <w:color w:val="00000A"/>
          <w:lang w:eastAsia="es-ES"/>
        </w:rPr>
        <w:lastRenderedPageBreak/>
        <w:t xml:space="preserve">1. </w:t>
      </w:r>
      <w:proofErr w:type="spellStart"/>
      <w:r>
        <w:rPr>
          <w:rFonts w:ascii="Times New Roman" w:eastAsia="Times New Roman" w:hAnsi="Times New Roman"/>
          <w:b/>
          <w:bCs/>
          <w:color w:val="00000A"/>
          <w:lang w:eastAsia="es-ES"/>
        </w:rPr>
        <w:t>Rhodes</w:t>
      </w:r>
      <w:proofErr w:type="spellEnd"/>
      <w:r>
        <w:rPr>
          <w:rFonts w:ascii="Times New Roman" w:eastAsia="Times New Roman" w:hAnsi="Times New Roman"/>
          <w:b/>
          <w:bCs/>
          <w:color w:val="00000A"/>
          <w:lang w:eastAsia="es-ES"/>
        </w:rPr>
        <w:t xml:space="preserve">, </w:t>
      </w:r>
      <w:proofErr w:type="spellStart"/>
      <w:r>
        <w:rPr>
          <w:rFonts w:ascii="Times New Roman" w:eastAsia="Times New Roman" w:hAnsi="Times New Roman"/>
          <w:b/>
          <w:bCs/>
          <w:color w:val="00000A"/>
          <w:lang w:eastAsia="es-ES"/>
        </w:rPr>
        <w:t>Bauwens</w:t>
      </w:r>
      <w:proofErr w:type="spellEnd"/>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Stan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fundador del Peer Trust Network Project [4], ofrece dos críticas principales a la licencia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[5]. La primera, como un incumplim</w:t>
      </w:r>
      <w:r>
        <w:rPr>
          <w:rFonts w:ascii="Times New Roman" w:eastAsia="Times New Roman" w:hAnsi="Times New Roman" w:cs="Times New Roman"/>
          <w:sz w:val="24"/>
          <w:szCs w:val="24"/>
          <w:lang w:eastAsia="es-ES"/>
        </w:rPr>
        <w:t xml:space="preserve">iento de sus principios: 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excluye el uso de bienes inherentemente no rivales por parte de negocios particulares, y eso va en contra de un bien público más extenso, sin tener en cuenta las intenciones que subyacen a </w:t>
      </w:r>
      <w:r>
        <w:rPr>
          <w:rFonts w:ascii="Times New Roman" w:eastAsia="Times New Roman" w:hAnsi="Times New Roman" w:cs="Times New Roman"/>
          <w:sz w:val="24"/>
          <w:szCs w:val="24"/>
          <w:lang w:eastAsia="es-ES"/>
        </w:rPr>
        <w:t xml:space="preserve">la exclusión. De acuerdo con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esto es comparable al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que busca restaurar y mantener la no rivalidad para todos los trabajos creativos. Es decir, la cláusula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está ahí para garantizar que todo aquello derivado del patrimonio común se</w:t>
      </w:r>
      <w:r>
        <w:rPr>
          <w:rFonts w:ascii="Times New Roman" w:eastAsia="Times New Roman" w:hAnsi="Times New Roman" w:cs="Times New Roman"/>
          <w:sz w:val="24"/>
          <w:szCs w:val="24"/>
          <w:lang w:eastAsia="es-ES"/>
        </w:rPr>
        <w:t xml:space="preserve">a y permanezca libre para que cualquiera pueda usarlo y reutilizarlo. Su segunda crítica al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concierne a su adopción práctica: los obstáculos para acceder al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son pocos para todos los usos y usuarios del bien, mientras que los obstáculos</w:t>
      </w:r>
      <w:r>
        <w:rPr>
          <w:rFonts w:ascii="Times New Roman" w:eastAsia="Times New Roman" w:hAnsi="Times New Roman" w:cs="Times New Roman"/>
          <w:sz w:val="24"/>
          <w:szCs w:val="24"/>
          <w:lang w:eastAsia="es-ES"/>
        </w:rPr>
        <w:t xml:space="preserve"> para acceder al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son pocos para unos y muchos para otros. Esta diferencia generalmente hace preferible al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en especial por parte de artistas que no descartan la posibilidad de cobrar de un negocio en el futuro. Mientras que el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garantiza el acceso libre a la obra y a todos los derivados sin importar su uso, 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no lo hace. Por lo tanto, sin considerar cualquier principio político, parecería una apuesta más segura.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extiende las dos dificultades del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a</w:t>
      </w:r>
      <w:r>
        <w:rPr>
          <w:rFonts w:ascii="Times New Roman" w:eastAsia="Times New Roman" w:hAnsi="Times New Roman" w:cs="Times New Roman"/>
          <w:sz w:val="24"/>
          <w:szCs w:val="24"/>
          <w:lang w:eastAsia="es-ES"/>
        </w:rPr>
        <w:t xml:space="preserve"> cualquier régimen que busque excluir a una entidad de usar bienes no rivales, sin importar las razones detrás de la exclusión [6]. Michel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xml:space="preserve">, fundador de la </w:t>
      </w:r>
      <w:proofErr w:type="spellStart"/>
      <w:r>
        <w:rPr>
          <w:rFonts w:ascii="Times New Roman" w:eastAsia="Times New Roman" w:hAnsi="Times New Roman" w:cs="Times New Roman"/>
          <w:sz w:val="24"/>
          <w:szCs w:val="24"/>
          <w:lang w:eastAsia="es-ES"/>
        </w:rPr>
        <w:t>Foundation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for</w:t>
      </w:r>
      <w:proofErr w:type="spellEnd"/>
      <w:r>
        <w:rPr>
          <w:rFonts w:ascii="Times New Roman" w:eastAsia="Times New Roman" w:hAnsi="Times New Roman" w:cs="Times New Roman"/>
          <w:sz w:val="24"/>
          <w:szCs w:val="24"/>
          <w:lang w:eastAsia="es-ES"/>
        </w:rPr>
        <w:t xml:space="preserve"> P2P </w:t>
      </w:r>
      <w:proofErr w:type="spellStart"/>
      <w:r>
        <w:rPr>
          <w:rFonts w:ascii="Times New Roman" w:eastAsia="Times New Roman" w:hAnsi="Times New Roman" w:cs="Times New Roman"/>
          <w:sz w:val="24"/>
          <w:szCs w:val="24"/>
          <w:lang w:eastAsia="es-ES"/>
        </w:rPr>
        <w:t>Alternatives</w:t>
      </w:r>
      <w:proofErr w:type="spellEnd"/>
      <w:r>
        <w:rPr>
          <w:rFonts w:ascii="Times New Roman" w:eastAsia="Times New Roman" w:hAnsi="Times New Roman" w:cs="Times New Roman"/>
          <w:sz w:val="24"/>
          <w:szCs w:val="24"/>
          <w:lang w:eastAsia="es-ES"/>
        </w:rPr>
        <w:t xml:space="preserve"> [7], secunda estas preocupaciones. Además, la crítica de </w:t>
      </w:r>
      <w:proofErr w:type="spellStart"/>
      <w:r>
        <w:rPr>
          <w:rFonts w:ascii="Times New Roman" w:eastAsia="Times New Roman" w:hAnsi="Times New Roman" w:cs="Times New Roman"/>
          <w:sz w:val="24"/>
          <w:szCs w:val="24"/>
          <w:lang w:eastAsia="es-ES"/>
        </w:rPr>
        <w:t>Bauw</w:t>
      </w:r>
      <w:r>
        <w:rPr>
          <w:rFonts w:ascii="Times New Roman" w:eastAsia="Times New Roman" w:hAnsi="Times New Roman" w:cs="Times New Roman"/>
          <w:sz w:val="24"/>
          <w:szCs w:val="24"/>
          <w:lang w:eastAsia="es-ES"/>
        </w:rPr>
        <w:t>ens</w:t>
      </w:r>
      <w:proofErr w:type="spellEnd"/>
      <w:r>
        <w:rPr>
          <w:rFonts w:ascii="Times New Roman" w:eastAsia="Times New Roman" w:hAnsi="Times New Roman" w:cs="Times New Roman"/>
          <w:sz w:val="24"/>
          <w:szCs w:val="24"/>
          <w:lang w:eastAsia="es-ES"/>
        </w:rPr>
        <w:t xml:space="preserve"> a la posición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es paradójica: aunque que no está de acuerdo con la perspectiva radical anticapitalista del régimen de licencias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y cree que las premisas y los análisis sobre los que se basa son erróneos,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xml:space="preserve"> apoya la propia Peer</w:t>
      </w:r>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Production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License</w:t>
      </w:r>
      <w:proofErr w:type="spellEnd"/>
      <w:r>
        <w:rPr>
          <w:rFonts w:ascii="Times New Roman" w:eastAsia="Times New Roman" w:hAnsi="Times New Roman" w:cs="Times New Roman"/>
          <w:sz w:val="24"/>
          <w:szCs w:val="24"/>
          <w:lang w:eastAsia="es-ES"/>
        </w:rPr>
        <w:t xml:space="preserve">, afirmando que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es una herramienta plausible para avanzar en la producción entre iguales basada en el procomún como un nuevo modo de producción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2012).</w:t>
      </w:r>
    </w:p>
    <w:p w:rsidR="00542547" w:rsidRDefault="00393AD3">
      <w:pPr>
        <w:pStyle w:val="Heading3"/>
        <w:spacing w:before="113" w:after="57" w:line="360" w:lineRule="auto"/>
        <w:jc w:val="both"/>
        <w:rPr>
          <w:rFonts w:ascii="Times New Roman" w:eastAsia="Times New Roman" w:hAnsi="Times New Roman"/>
          <w:b/>
          <w:bCs/>
          <w:color w:val="00000A"/>
          <w:lang w:eastAsia="es-ES"/>
        </w:rPr>
      </w:pPr>
      <w:r>
        <w:rPr>
          <w:rFonts w:ascii="Times New Roman" w:eastAsia="Times New Roman" w:hAnsi="Times New Roman"/>
          <w:b/>
          <w:bCs/>
          <w:color w:val="00000A"/>
          <w:lang w:eastAsia="es-ES"/>
        </w:rPr>
        <w:t xml:space="preserve">2. </w:t>
      </w:r>
      <w:proofErr w:type="spellStart"/>
      <w:r>
        <w:rPr>
          <w:rFonts w:ascii="Times New Roman" w:eastAsia="Times New Roman" w:hAnsi="Times New Roman"/>
          <w:b/>
          <w:bCs/>
          <w:color w:val="00000A"/>
          <w:lang w:eastAsia="es-ES"/>
        </w:rPr>
        <w:t>Toner</w:t>
      </w:r>
      <w:proofErr w:type="spellEnd"/>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Aunque aprecia el espíritu del cambio de una </w:t>
      </w:r>
      <w:r>
        <w:rPr>
          <w:rFonts w:ascii="Times New Roman" w:eastAsia="Times New Roman" w:hAnsi="Times New Roman" w:cs="Times New Roman"/>
          <w:sz w:val="24"/>
          <w:szCs w:val="24"/>
          <w:lang w:eastAsia="es-ES"/>
        </w:rPr>
        <w:t xml:space="preserve">cláusula «no comercial» a una de «no alienación», Alan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(2007), investigador en propiedad intelectual y comunicación, manifestó serias dudas sobre la viabilidad práctica de esta cláusula. </w:t>
      </w:r>
      <w:r>
        <w:rPr>
          <w:rFonts w:ascii="Times New Roman" w:hAnsi="Times New Roman"/>
          <w:sz w:val="24"/>
          <w:szCs w:val="24"/>
        </w:rPr>
        <w:t>Si ya resulta complicado evaluar el carácter comercial o no com</w:t>
      </w:r>
      <w:r>
        <w:rPr>
          <w:rFonts w:ascii="Times New Roman" w:hAnsi="Times New Roman"/>
          <w:sz w:val="24"/>
          <w:szCs w:val="24"/>
        </w:rPr>
        <w:t xml:space="preserve">ercial de una explotación particular, es aún más difícil determinar objetivamente que una persona o institución sea culpable de explotar trabajo asalariado. </w:t>
      </w:r>
      <w:r>
        <w:rPr>
          <w:rFonts w:ascii="Times New Roman" w:eastAsia="Times New Roman" w:hAnsi="Times New Roman" w:cs="Times New Roman"/>
          <w:sz w:val="24"/>
          <w:szCs w:val="24"/>
          <w:lang w:eastAsia="es-ES"/>
        </w:rPr>
        <w:t xml:space="preserve">Además,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considera que el enfoque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lastRenderedPageBreak/>
        <w:t>prioriza la articulación de un proyecto ideológic</w:t>
      </w:r>
      <w:r>
        <w:rPr>
          <w:rFonts w:ascii="Times New Roman" w:eastAsia="Times New Roman" w:hAnsi="Times New Roman" w:cs="Times New Roman"/>
          <w:sz w:val="24"/>
          <w:szCs w:val="24"/>
          <w:lang w:eastAsia="es-ES"/>
        </w:rPr>
        <w:t xml:space="preserve">o sobre la construcción de las herramientas para llevarlo a la práctica. Mientras concede que ambos son aspectos importantes (y mutuamente constitutivos) de las luchas políticas sobre acceso al conocimiento, también apunta que algunas de las iniciativas </w:t>
      </w:r>
      <w:proofErr w:type="spellStart"/>
      <w:r>
        <w:rPr>
          <w:rFonts w:ascii="Times New Roman" w:eastAsia="Times New Roman" w:hAnsi="Times New Roman" w:cs="Times New Roman"/>
          <w:i/>
          <w:sz w:val="24"/>
          <w:szCs w:val="24"/>
          <w:lang w:eastAsia="es-ES"/>
        </w:rPr>
        <w:t>co</w:t>
      </w:r>
      <w:r>
        <w:rPr>
          <w:rFonts w:ascii="Times New Roman" w:eastAsia="Times New Roman" w:hAnsi="Times New Roman" w:cs="Times New Roman"/>
          <w:i/>
          <w:sz w:val="24"/>
          <w:szCs w:val="24"/>
          <w:lang w:eastAsia="es-ES"/>
        </w:rPr>
        <w:t>pyleft</w:t>
      </w:r>
      <w:proofErr w:type="spellEnd"/>
      <w:r>
        <w:rPr>
          <w:rFonts w:ascii="Times New Roman" w:eastAsia="Times New Roman" w:hAnsi="Times New Roman" w:cs="Times New Roman"/>
          <w:sz w:val="24"/>
          <w:szCs w:val="24"/>
          <w:lang w:eastAsia="es-ES"/>
        </w:rPr>
        <w:t xml:space="preserve"> con más éxito (GNU/Linux, Wikipedia, </w:t>
      </w:r>
      <w:proofErr w:type="spellStart"/>
      <w:r>
        <w:rPr>
          <w:rFonts w:ascii="Times New Roman" w:eastAsia="Times New Roman" w:hAnsi="Times New Roman" w:cs="Times New Roman"/>
          <w:sz w:val="24"/>
          <w:szCs w:val="24"/>
          <w:lang w:eastAsia="es-ES"/>
        </w:rPr>
        <w:t>etc</w:t>
      </w:r>
      <w:proofErr w:type="spellEnd"/>
      <w:r>
        <w:rPr>
          <w:rFonts w:ascii="Times New Roman" w:eastAsia="Times New Roman" w:hAnsi="Times New Roman" w:cs="Times New Roman"/>
          <w:sz w:val="24"/>
          <w:szCs w:val="24"/>
          <w:lang w:eastAsia="es-ES"/>
        </w:rPr>
        <w:t>) hicieron el camino opuesto. Han priorizado la creación de «recursos económicos que funcionen para sus usuarios» mientras que «limitan la dimensión política a lo realmente pertinente para ese ámbito de activi</w:t>
      </w:r>
      <w:r>
        <w:rPr>
          <w:rFonts w:ascii="Times New Roman" w:eastAsia="Times New Roman" w:hAnsi="Times New Roman" w:cs="Times New Roman"/>
          <w:sz w:val="24"/>
          <w:szCs w:val="24"/>
          <w:lang w:eastAsia="es-ES"/>
        </w:rPr>
        <w:t>dad»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2007). Por esta razón y a pesar de su atractivo inicial,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cree que el movimiento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puede que no movilice a una cantidad suficiente de gente como para ser realmente efectivo.</w:t>
      </w:r>
    </w:p>
    <w:p w:rsidR="00542547" w:rsidRDefault="00393AD3">
      <w:pPr>
        <w:pStyle w:val="Heading3"/>
        <w:spacing w:before="113" w:after="57" w:line="360" w:lineRule="auto"/>
        <w:jc w:val="both"/>
        <w:rPr>
          <w:rFonts w:ascii="Times New Roman" w:eastAsia="Times New Roman" w:hAnsi="Times New Roman"/>
          <w:b/>
          <w:bCs/>
          <w:color w:val="00000A"/>
          <w:lang w:eastAsia="es-ES"/>
        </w:rPr>
      </w:pPr>
      <w:r>
        <w:rPr>
          <w:rFonts w:ascii="Times New Roman" w:eastAsia="Times New Roman" w:hAnsi="Times New Roman"/>
          <w:b/>
          <w:bCs/>
          <w:color w:val="00000A"/>
          <w:lang w:eastAsia="es-ES"/>
        </w:rPr>
        <w:t xml:space="preserve">3. </w:t>
      </w:r>
      <w:proofErr w:type="spellStart"/>
      <w:r>
        <w:rPr>
          <w:rFonts w:ascii="Times New Roman" w:eastAsia="Times New Roman" w:hAnsi="Times New Roman"/>
          <w:b/>
          <w:bCs/>
          <w:color w:val="00000A"/>
          <w:lang w:eastAsia="es-ES"/>
        </w:rPr>
        <w:t>Meretz</w:t>
      </w:r>
      <w:proofErr w:type="spellEnd"/>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alemán Stefan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defensor del procomún asociado al grupo </w:t>
      </w:r>
      <w:proofErr w:type="spellStart"/>
      <w:r>
        <w:rPr>
          <w:rFonts w:ascii="Times New Roman" w:eastAsia="Times New Roman" w:hAnsi="Times New Roman" w:cs="Times New Roman"/>
          <w:sz w:val="24"/>
          <w:szCs w:val="24"/>
          <w:lang w:eastAsia="es-ES"/>
        </w:rPr>
        <w:t>Oekonux</w:t>
      </w:r>
      <w:proofErr w:type="spellEnd"/>
      <w:r>
        <w:rPr>
          <w:rFonts w:ascii="Times New Roman" w:eastAsia="Times New Roman" w:hAnsi="Times New Roman" w:cs="Times New Roman"/>
          <w:sz w:val="24"/>
          <w:szCs w:val="24"/>
          <w:lang w:eastAsia="es-ES"/>
        </w:rPr>
        <w:t xml:space="preserve"> [8], ha escrito una crítica razonada al enfoque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que merece ser tenida en consideración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2008). Constituye una interesante contrapartida a las críticas de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y </w:t>
      </w:r>
      <w:proofErr w:type="spellStart"/>
      <w:r>
        <w:rPr>
          <w:rFonts w:ascii="Times New Roman" w:eastAsia="Times New Roman" w:hAnsi="Times New Roman" w:cs="Times New Roman"/>
          <w:sz w:val="24"/>
          <w:szCs w:val="24"/>
          <w:lang w:eastAsia="es-ES"/>
        </w:rPr>
        <w:t>T</w:t>
      </w:r>
      <w:r>
        <w:rPr>
          <w:rFonts w:ascii="Times New Roman" w:eastAsia="Times New Roman" w:hAnsi="Times New Roman" w:cs="Times New Roman"/>
          <w:sz w:val="24"/>
          <w:szCs w:val="24"/>
          <w:lang w:eastAsia="es-ES"/>
        </w:rPr>
        <w:t>oner</w:t>
      </w:r>
      <w:proofErr w:type="spellEnd"/>
      <w:r>
        <w:rPr>
          <w:rFonts w:ascii="Times New Roman" w:eastAsia="Times New Roman" w:hAnsi="Times New Roman" w:cs="Times New Roman"/>
          <w:sz w:val="24"/>
          <w:szCs w:val="24"/>
          <w:lang w:eastAsia="es-ES"/>
        </w:rPr>
        <w:t xml:space="preserve"> ya que proviene casi del lado opuesto del espectro del debate.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(2010) considera que la propiedad –como en la propiedad privada– es un robo porque los dueños de la propiedad pueden extraer rentas de las obras de trabajadores sin propiedad. Afir</w:t>
      </w:r>
      <w:r>
        <w:rPr>
          <w:rFonts w:ascii="Times New Roman" w:eastAsia="Times New Roman" w:hAnsi="Times New Roman" w:cs="Times New Roman"/>
          <w:sz w:val="24"/>
          <w:szCs w:val="24"/>
          <w:lang w:eastAsia="es-ES"/>
        </w:rPr>
        <w:t>ma que solo los trabajadores deberían obtener rentas aplicando su propio trabajo para el beneficio de su comunidad. El fruto puede ser utilizado por otros trabajadores que formen parte de la construcción del mismo procomún pero no por dueños de propiedad q</w:t>
      </w:r>
      <w:r>
        <w:rPr>
          <w:rFonts w:ascii="Times New Roman" w:eastAsia="Times New Roman" w:hAnsi="Times New Roman" w:cs="Times New Roman"/>
          <w:sz w:val="24"/>
          <w:szCs w:val="24"/>
          <w:lang w:eastAsia="es-ES"/>
        </w:rPr>
        <w:t xml:space="preserve">ue exploten el trabajo asalariado. De este modo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critica el enfoque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basándose en que no se interesa por la «propiedad» sino solo por regular el «uso» de la propiedad. 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trata de ir un paso más allá alentando un cambio en la est</w:t>
      </w:r>
      <w:r>
        <w:rPr>
          <w:rFonts w:ascii="Times New Roman" w:eastAsia="Times New Roman" w:hAnsi="Times New Roman" w:cs="Times New Roman"/>
          <w:sz w:val="24"/>
          <w:szCs w:val="24"/>
          <w:lang w:eastAsia="es-ES"/>
        </w:rPr>
        <w:t>ructura de propiedad. Esto se consigue distinguiendo entre una economía basada en el procomún (más precisamente, una economía cimentada en una propiedad colectiva, a la que se permite explotar económicamente los bienes comunes) y una basada en el trabajo a</w:t>
      </w:r>
      <w:r>
        <w:rPr>
          <w:rFonts w:ascii="Times New Roman" w:eastAsia="Times New Roman" w:hAnsi="Times New Roman" w:cs="Times New Roman"/>
          <w:sz w:val="24"/>
          <w:szCs w:val="24"/>
          <w:lang w:eastAsia="es-ES"/>
        </w:rPr>
        <w:t>salariado (a la que se excluye de hacerlo).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Stefan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critica el modelo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radical propuesto por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afirmando que es simplista y, en general, incorrecto. Según argumenta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se basa en categorías de David Ricardo reemplazadas por los aná</w:t>
      </w:r>
      <w:r>
        <w:rPr>
          <w:rFonts w:ascii="Times New Roman" w:eastAsia="Times New Roman" w:hAnsi="Times New Roman" w:cs="Times New Roman"/>
          <w:sz w:val="24"/>
          <w:szCs w:val="24"/>
          <w:lang w:eastAsia="es-ES"/>
        </w:rPr>
        <w:t xml:space="preserve">lisis de Marx. La principal crítica que hace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a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es por centrarse demasiado en los aspectos de propiedad (particularmente de los medios de producción) y circulación, mientras que considera la producción en sí misma como una esfera neutral. De </w:t>
      </w:r>
      <w:r>
        <w:rPr>
          <w:rFonts w:ascii="Times New Roman" w:eastAsia="Times New Roman" w:hAnsi="Times New Roman" w:cs="Times New Roman"/>
          <w:sz w:val="24"/>
          <w:szCs w:val="24"/>
          <w:lang w:eastAsia="es-ES"/>
        </w:rPr>
        <w:t xml:space="preserve">hecho, su crítica de la propiedad </w:t>
      </w:r>
      <w:r>
        <w:rPr>
          <w:rFonts w:ascii="Times New Roman" w:eastAsia="Times New Roman" w:hAnsi="Times New Roman" w:cs="Times New Roman"/>
          <w:sz w:val="24"/>
          <w:szCs w:val="24"/>
          <w:lang w:eastAsia="es-ES"/>
        </w:rPr>
        <w:lastRenderedPageBreak/>
        <w:t xml:space="preserve">como «robo» se refiere únicamente a la «renta» [9] extraída por las compañías comerciales al explotar el trabajo asalariado, pero no a la venta de los productos en el mercado. Para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la reapropiación de los medios de</w:t>
      </w:r>
      <w:r>
        <w:rPr>
          <w:rFonts w:ascii="Times New Roman" w:eastAsia="Times New Roman" w:hAnsi="Times New Roman" w:cs="Times New Roman"/>
          <w:sz w:val="24"/>
          <w:szCs w:val="24"/>
          <w:lang w:eastAsia="es-ES"/>
        </w:rPr>
        <w:t xml:space="preserve"> producción es, por supuesto, un paso necesario para promover una distribución más equitativa de riqueza. Además, solo tendría un éxito transformador para la sociedad en la medida en que también suponga un cambio en el modo de producción, yendo más allá de</w:t>
      </w:r>
      <w:r>
        <w:rPr>
          <w:rFonts w:ascii="Times New Roman" w:eastAsia="Times New Roman" w:hAnsi="Times New Roman" w:cs="Times New Roman"/>
          <w:sz w:val="24"/>
          <w:szCs w:val="24"/>
          <w:lang w:eastAsia="es-ES"/>
        </w:rPr>
        <w:t xml:space="preserve"> la lógica de explotación e intercambio. Sin esta transformación adicional, los colectivos de trabajadores propietarios tienden a sucumbir a presiones externas y terminan comportándose de modo similar a las compañías basadas en el trabajo asalariado. [10]</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Por último, una limitación adicional identificada en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Es cierto que intenta abordar la desigualdad de poder entre entidades corporativas y otras entidades propiedad de los trabajadores (fomentando la </w:t>
      </w:r>
      <w:proofErr w:type="spellStart"/>
      <w:r>
        <w:rPr>
          <w:rFonts w:ascii="Times New Roman" w:eastAsia="Times New Roman" w:hAnsi="Times New Roman" w:cs="Times New Roman"/>
          <w:sz w:val="24"/>
          <w:szCs w:val="24"/>
          <w:lang w:eastAsia="es-ES"/>
        </w:rPr>
        <w:t>autoorganización</w:t>
      </w:r>
      <w:proofErr w:type="spellEnd"/>
      <w:r>
        <w:rPr>
          <w:rFonts w:ascii="Times New Roman" w:eastAsia="Times New Roman" w:hAnsi="Times New Roman" w:cs="Times New Roman"/>
          <w:sz w:val="24"/>
          <w:szCs w:val="24"/>
          <w:lang w:eastAsia="es-ES"/>
        </w:rPr>
        <w:t xml:space="preserve"> entre este último</w:t>
      </w:r>
      <w:r>
        <w:rPr>
          <w:rFonts w:ascii="Times New Roman" w:eastAsia="Times New Roman" w:hAnsi="Times New Roman" w:cs="Times New Roman"/>
          <w:sz w:val="24"/>
          <w:szCs w:val="24"/>
          <w:lang w:eastAsia="es-ES"/>
        </w:rPr>
        <w:t xml:space="preserve"> colectivo). Sin embargo no afronta otro tema importante: e</w:t>
      </w:r>
      <w:r>
        <w:rPr>
          <w:rFonts w:ascii="Times New Roman" w:hAnsi="Times New Roman"/>
          <w:sz w:val="24"/>
          <w:szCs w:val="24"/>
        </w:rPr>
        <w:t xml:space="preserve">l hecho de que muchas de esas entidades corporativas que utilizan obras del procomún pueden no estar retornando contribuciones al procomún, aun siendo capaces de hacerlo. </w:t>
      </w:r>
      <w:r>
        <w:rPr>
          <w:rFonts w:ascii="Times New Roman" w:eastAsia="Times New Roman" w:hAnsi="Times New Roman" w:cs="Times New Roman"/>
          <w:sz w:val="24"/>
          <w:szCs w:val="24"/>
          <w:lang w:eastAsia="es-ES"/>
        </w:rPr>
        <w:t>Este es un aspecto importa</w:t>
      </w:r>
      <w:r>
        <w:rPr>
          <w:rFonts w:ascii="Times New Roman" w:eastAsia="Times New Roman" w:hAnsi="Times New Roman" w:cs="Times New Roman"/>
          <w:sz w:val="24"/>
          <w:szCs w:val="24"/>
          <w:lang w:eastAsia="es-ES"/>
        </w:rPr>
        <w:t xml:space="preserve">nte para el abastecimiento y sostenibilidad a largo plazo del hacer común, que intentamos tratar más específicamente en nuestra propuesta para ampliar y mejorar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elaborado por </w:t>
      </w:r>
      <w:proofErr w:type="spellStart"/>
      <w:r>
        <w:rPr>
          <w:rFonts w:ascii="Times New Roman" w:eastAsia="Times New Roman" w:hAnsi="Times New Roman" w:cs="Times New Roman"/>
          <w:sz w:val="24"/>
          <w:szCs w:val="24"/>
          <w:lang w:eastAsia="es-ES"/>
        </w:rPr>
        <w:t>Dmytri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w:t>
      </w:r>
    </w:p>
    <w:p w:rsidR="00542547" w:rsidRDefault="00542547">
      <w:pPr>
        <w:spacing w:before="113" w:after="57" w:line="360" w:lineRule="auto"/>
        <w:jc w:val="both"/>
        <w:outlineLvl w:val="1"/>
        <w:rPr>
          <w:rFonts w:ascii="Times New Roman" w:hAnsi="Times New Roman"/>
          <w:sz w:val="24"/>
          <w:szCs w:val="24"/>
        </w:rPr>
      </w:pP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 xml:space="preserve">II. Enfoque alternativo/complementario: </w:t>
      </w:r>
      <w:r>
        <w:rPr>
          <w:rFonts w:ascii="Times New Roman" w:hAnsi="Times New Roman"/>
          <w:b/>
          <w:bCs/>
          <w:sz w:val="24"/>
          <w:szCs w:val="24"/>
        </w:rPr>
        <w:t xml:space="preserve">Licencia </w:t>
      </w:r>
      <w:proofErr w:type="spellStart"/>
      <w:r>
        <w:rPr>
          <w:rFonts w:ascii="Times New Roman" w:hAnsi="Times New Roman"/>
          <w:b/>
          <w:bCs/>
          <w:sz w:val="24"/>
          <w:szCs w:val="24"/>
        </w:rPr>
        <w:t>Commons</w:t>
      </w:r>
      <w:proofErr w:type="spellEnd"/>
      <w:r>
        <w:rPr>
          <w:rFonts w:ascii="Times New Roman" w:hAnsi="Times New Roman"/>
          <w:b/>
          <w:bCs/>
          <w:sz w:val="24"/>
          <w:szCs w:val="24"/>
        </w:rPr>
        <w:t xml:space="preserve"> </w:t>
      </w:r>
      <w:proofErr w:type="spellStart"/>
      <w:r>
        <w:rPr>
          <w:rFonts w:ascii="Times New Roman" w:hAnsi="Times New Roman"/>
          <w:b/>
          <w:bCs/>
          <w:sz w:val="24"/>
          <w:szCs w:val="24"/>
        </w:rPr>
        <w:t>Reciprocity</w:t>
      </w:r>
      <w:proofErr w:type="spellEnd"/>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Esta sección propone una tentativa de modelo de licencia basada en el procomún que restringe el uso comercial de acuerdo con cuánto ha contribuido el usuario al escenario común.</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Ofrecemos el boceto de una nueva licencia –</w:t>
      </w:r>
      <w:proofErr w:type="spellStart"/>
      <w:r>
        <w:rPr>
          <w:rFonts w:ascii="Times New Roman" w:eastAsia="Times New Roman" w:hAnsi="Times New Roman" w:cs="Times New Roman"/>
          <w:sz w:val="24"/>
          <w:szCs w:val="24"/>
          <w:lang w:eastAsia="es-ES"/>
        </w:rPr>
        <w:t>Common</w:t>
      </w:r>
      <w:r>
        <w:rPr>
          <w:rFonts w:ascii="Times New Roman" w:eastAsia="Times New Roman" w:hAnsi="Times New Roman" w:cs="Times New Roman"/>
          <w:sz w:val="24"/>
          <w:szCs w:val="24"/>
          <w:lang w:eastAsia="es-ES"/>
        </w:rPr>
        <w:t>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Reciprocity</w:t>
      </w:r>
      <w:proofErr w:type="spellEnd"/>
      <w:r>
        <w:rPr>
          <w:rFonts w:ascii="Times New Roman" w:eastAsia="Times New Roman" w:hAnsi="Times New Roman" w:cs="Times New Roman"/>
          <w:sz w:val="24"/>
          <w:szCs w:val="24"/>
          <w:lang w:eastAsia="es-ES"/>
        </w:rPr>
        <w:t xml:space="preserve">– como alternativa, o quizás como enfoque complementario a la licencia Peer </w:t>
      </w:r>
      <w:proofErr w:type="spellStart"/>
      <w:r>
        <w:rPr>
          <w:rFonts w:ascii="Times New Roman" w:eastAsia="Times New Roman" w:hAnsi="Times New Roman" w:cs="Times New Roman"/>
          <w:sz w:val="24"/>
          <w:szCs w:val="24"/>
          <w:lang w:eastAsia="es-ES"/>
        </w:rPr>
        <w:t>Production</w:t>
      </w:r>
      <w:proofErr w:type="spellEnd"/>
      <w:r>
        <w:rPr>
          <w:rFonts w:ascii="Times New Roman" w:eastAsia="Times New Roman" w:hAnsi="Times New Roman" w:cs="Times New Roman"/>
          <w:sz w:val="24"/>
          <w:szCs w:val="24"/>
          <w:lang w:eastAsia="es-ES"/>
        </w:rPr>
        <w:t xml:space="preserve"> (producción entre iguales)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Por una parte, se podría considerar como un enfoque alternativo, por el hecho de abordar un aspecto diferente de la c</w:t>
      </w:r>
      <w:r>
        <w:rPr>
          <w:rFonts w:ascii="Times New Roman" w:eastAsia="Times New Roman" w:hAnsi="Times New Roman" w:cs="Times New Roman"/>
          <w:sz w:val="24"/>
          <w:szCs w:val="24"/>
          <w:lang w:eastAsia="es-ES"/>
        </w:rPr>
        <w:t>uestión: en vez de excluir a todos los actores que no forman parte del procomún, aspira a proporcionar medios para generar reciprocidad al dirigir también la producción hacia la esfera de lo común. Por otra parte, se podría tratar como complementaria puest</w:t>
      </w:r>
      <w:r>
        <w:rPr>
          <w:rFonts w:ascii="Times New Roman" w:eastAsia="Times New Roman" w:hAnsi="Times New Roman" w:cs="Times New Roman"/>
          <w:sz w:val="24"/>
          <w:szCs w:val="24"/>
          <w:lang w:eastAsia="es-ES"/>
        </w:rPr>
        <w:t xml:space="preserve">o que su «cláusula de reciprocidad» es susceptible de utilizarse como una variación de la licencia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por ejemplo, combinándola con una restricción a usuarios basados en el trabajo asalariado.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La licencia que aquí bosquejamos aspira a conseguir un</w:t>
      </w:r>
      <w:r>
        <w:rPr>
          <w:rFonts w:ascii="Times New Roman" w:eastAsia="Times New Roman" w:hAnsi="Times New Roman" w:cs="Times New Roman"/>
          <w:sz w:val="24"/>
          <w:szCs w:val="24"/>
          <w:lang w:eastAsia="es-ES"/>
        </w:rPr>
        <w:t xml:space="preserve"> objetivo similar a la licencia Peer </w:t>
      </w:r>
      <w:proofErr w:type="spellStart"/>
      <w:r>
        <w:rPr>
          <w:rFonts w:ascii="Times New Roman" w:eastAsia="Times New Roman" w:hAnsi="Times New Roman" w:cs="Times New Roman"/>
          <w:sz w:val="24"/>
          <w:szCs w:val="24"/>
          <w:lang w:eastAsia="es-ES"/>
        </w:rPr>
        <w:t>Production</w:t>
      </w:r>
      <w:proofErr w:type="spellEnd"/>
      <w:r>
        <w:rPr>
          <w:rFonts w:ascii="Times New Roman" w:eastAsia="Times New Roman" w:hAnsi="Times New Roman" w:cs="Times New Roman"/>
          <w:sz w:val="24"/>
          <w:szCs w:val="24"/>
          <w:lang w:eastAsia="es-ES"/>
        </w:rPr>
        <w:t xml:space="preserve">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–es decir, evitar que entidades corporativas se beneficien injustamente del patrimonio común– sin excluirlas aposta de la oportunidad de usarlo y reusarlo libremente, con propósitos tanto comercial</w:t>
      </w:r>
      <w:r>
        <w:rPr>
          <w:rFonts w:ascii="Times New Roman" w:eastAsia="Times New Roman" w:hAnsi="Times New Roman" w:cs="Times New Roman"/>
          <w:sz w:val="24"/>
          <w:szCs w:val="24"/>
          <w:lang w:eastAsia="es-ES"/>
        </w:rPr>
        <w:t xml:space="preserve">es como no comerciales, siempre y cuando también contribuyan con retornos a este patrimonio común. Fundamentalmente, la licencia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Reciprocity</w:t>
      </w:r>
      <w:proofErr w:type="spellEnd"/>
      <w:r>
        <w:rPr>
          <w:rFonts w:ascii="Times New Roman" w:eastAsia="Times New Roman" w:hAnsi="Times New Roman" w:cs="Times New Roman"/>
          <w:sz w:val="24"/>
          <w:szCs w:val="24"/>
          <w:lang w:eastAsia="es-ES"/>
        </w:rPr>
        <w:t xml:space="preserve"> puede considerarse una adaptación de la licencia </w:t>
      </w:r>
      <w:proofErr w:type="spellStart"/>
      <w:r>
        <w:rPr>
          <w:rFonts w:ascii="Times New Roman" w:eastAsia="Times New Roman" w:hAnsi="Times New Roman" w:cs="Times New Roman"/>
          <w:sz w:val="24"/>
          <w:szCs w:val="24"/>
          <w:lang w:eastAsia="es-ES"/>
        </w:rPr>
        <w:t>Creative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CC-BY-NC-SA, incluyendo, sin embargo, una</w:t>
      </w:r>
      <w:r>
        <w:rPr>
          <w:rFonts w:ascii="Times New Roman" w:eastAsia="Times New Roman" w:hAnsi="Times New Roman" w:cs="Times New Roman"/>
          <w:sz w:val="24"/>
          <w:szCs w:val="24"/>
          <w:lang w:eastAsia="es-ES"/>
        </w:rPr>
        <w:t xml:space="preserve"> cláusula adicional: la cláusula de «reciprocidad». Su objetivo es excluir la explotación comercial del procomún por gente que no contribuye en absoluto a ello. La cláusula de «reciprocidad» implica, por lo tanto, una condición de acuerdo a través de la cu</w:t>
      </w:r>
      <w:r>
        <w:rPr>
          <w:rFonts w:ascii="Times New Roman" w:eastAsia="Times New Roman" w:hAnsi="Times New Roman" w:cs="Times New Roman"/>
          <w:sz w:val="24"/>
          <w:szCs w:val="24"/>
          <w:lang w:eastAsia="es-ES"/>
        </w:rPr>
        <w:t>al solo quienes contribuyan al patrimonio común están autorizados a explotarlo comercialmente. Esto, solo hasta un grado similar o equivalente (pueden tomar solamente tanto como hayan dado al patrimonio común). Es decir, las obras emitidas bajo esta licenc</w:t>
      </w:r>
      <w:r>
        <w:rPr>
          <w:rFonts w:ascii="Times New Roman" w:eastAsia="Times New Roman" w:hAnsi="Times New Roman" w:cs="Times New Roman"/>
          <w:sz w:val="24"/>
          <w:szCs w:val="24"/>
          <w:lang w:eastAsia="es-ES"/>
        </w:rPr>
        <w:t>ia permanecerían disponibles libremente para un uso no comercial, mientras que su explotación comercial solo se permitiría a aquellos que (ya) han contribuido al patrimonio común y solo en proporción a su contribución. Si esta condición no se diera, aplica</w:t>
      </w:r>
      <w:r>
        <w:rPr>
          <w:rFonts w:ascii="Times New Roman" w:eastAsia="Times New Roman" w:hAnsi="Times New Roman" w:cs="Times New Roman"/>
          <w:sz w:val="24"/>
          <w:szCs w:val="24"/>
          <w:lang w:eastAsia="es-ES"/>
        </w:rPr>
        <w:t xml:space="preserve">n las disposiciones estándar de </w:t>
      </w:r>
      <w:r>
        <w:rPr>
          <w:rFonts w:ascii="Times New Roman" w:eastAsia="Times New Roman" w:hAnsi="Times New Roman" w:cs="Times New Roman"/>
          <w:i/>
          <w:sz w:val="24"/>
          <w:szCs w:val="24"/>
          <w:lang w:eastAsia="es-ES"/>
        </w:rPr>
        <w:t>copyright</w:t>
      </w:r>
      <w:r>
        <w:rPr>
          <w:rFonts w:ascii="Times New Roman" w:eastAsia="Times New Roman" w:hAnsi="Times New Roman" w:cs="Times New Roman"/>
          <w:sz w:val="24"/>
          <w:szCs w:val="24"/>
          <w:lang w:eastAsia="es-ES"/>
        </w:rPr>
        <w:t>: la explotación comercial solo se puede realizar de manera legítima con autorización previa de los pertinentes dueños de los derechos y está sujeta al pago de los correspondientes derechos de licencia (si los hubie</w:t>
      </w:r>
      <w:r>
        <w:rPr>
          <w:rFonts w:ascii="Times New Roman" w:eastAsia="Times New Roman" w:hAnsi="Times New Roman" w:cs="Times New Roman"/>
          <w:sz w:val="24"/>
          <w:szCs w:val="24"/>
          <w:lang w:eastAsia="es-ES"/>
        </w:rPr>
        <w:t>ra).</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Hay que señalar, sin embargo, que determinar la cantidad de contribuciones hechas al patrimonio común sería una tarea desafiante. Sugerimos un posible modo de resolver el problema mediante la introducción de algún tipo de «moneda entre pares»: un sist</w:t>
      </w:r>
      <w:r>
        <w:rPr>
          <w:rFonts w:ascii="Times New Roman" w:eastAsia="Times New Roman" w:hAnsi="Times New Roman" w:cs="Times New Roman"/>
          <w:sz w:val="24"/>
          <w:szCs w:val="24"/>
          <w:lang w:eastAsia="es-ES"/>
        </w:rPr>
        <w:t>ema de monedas simbólicas que determine aproximadamente en cuánto ha contribuido cada usuario al procomún. Los usos comerciales se podrían realizar tanto «gastando» estas monedas como pasándoselas al creador del recurso utilizado comercialmente. La ventaja</w:t>
      </w:r>
      <w:r>
        <w:rPr>
          <w:rFonts w:ascii="Times New Roman" w:eastAsia="Times New Roman" w:hAnsi="Times New Roman" w:cs="Times New Roman"/>
          <w:sz w:val="24"/>
          <w:szCs w:val="24"/>
          <w:lang w:eastAsia="es-ES"/>
        </w:rPr>
        <w:t xml:space="preserve"> de la primera opción es que la moneda entre pares –una vez usada– no existiría más (evitando de este modo el riesgo de efecto rebaño, especulación, etc.). En la segunda opción, en cambio, la moneda entre pares se transferiría al creador, permitiendo de es</w:t>
      </w:r>
      <w:r>
        <w:rPr>
          <w:rFonts w:ascii="Times New Roman" w:eastAsia="Times New Roman" w:hAnsi="Times New Roman" w:cs="Times New Roman"/>
          <w:sz w:val="24"/>
          <w:szCs w:val="24"/>
          <w:lang w:eastAsia="es-ES"/>
        </w:rPr>
        <w:t>te modo una forma de reconocimiento o «beneficio compartido». Puesto que aún no estamos seguros de cuál de las opciones sería mejor para este tipo de licencia, sugerimos ambas posibilidades para una discusión en profundidad.</w:t>
      </w:r>
    </w:p>
    <w:p w:rsidR="00542547" w:rsidRDefault="00542547">
      <w:pPr>
        <w:spacing w:before="113" w:after="57" w:line="360" w:lineRule="auto"/>
        <w:jc w:val="both"/>
        <w:outlineLvl w:val="1"/>
        <w:rPr>
          <w:rFonts w:ascii="Times New Roman" w:hAnsi="Times New Roman"/>
          <w:sz w:val="24"/>
          <w:szCs w:val="24"/>
        </w:rPr>
      </w:pP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lastRenderedPageBreak/>
        <w:t>A. Ventajas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idea es evitar </w:t>
      </w:r>
      <w:r>
        <w:rPr>
          <w:rFonts w:ascii="Times New Roman" w:eastAsia="Times New Roman" w:hAnsi="Times New Roman" w:cs="Times New Roman"/>
          <w:sz w:val="24"/>
          <w:szCs w:val="24"/>
          <w:lang w:eastAsia="es-ES"/>
        </w:rPr>
        <w:t xml:space="preserve">un cisma completo entre el procomún y actores que basan su actividad en trabajo asalariado (a través de un sistema de </w:t>
      </w:r>
      <w:proofErr w:type="spellStart"/>
      <w:r>
        <w:rPr>
          <w:rFonts w:ascii="Times New Roman" w:eastAsia="Times New Roman" w:hAnsi="Times New Roman" w:cs="Times New Roman"/>
          <w:i/>
          <w:iCs/>
          <w:sz w:val="24"/>
          <w:szCs w:val="24"/>
          <w:lang w:eastAsia="es-ES"/>
        </w:rPr>
        <w:t>pseudomoneda</w:t>
      </w:r>
      <w:proofErr w:type="spellEnd"/>
      <w:r>
        <w:rPr>
          <w:rFonts w:ascii="Times New Roman" w:eastAsia="Times New Roman" w:hAnsi="Times New Roman" w:cs="Times New Roman"/>
          <w:sz w:val="24"/>
          <w:szCs w:val="24"/>
          <w:lang w:eastAsia="es-ES"/>
        </w:rPr>
        <w:t xml:space="preserve"> que les permita hacer uso del fondo común sin la incertidumbre y los costes discrecionales de una negociación individual de l</w:t>
      </w:r>
      <w:r>
        <w:rPr>
          <w:rFonts w:ascii="Times New Roman" w:eastAsia="Times New Roman" w:hAnsi="Times New Roman" w:cs="Times New Roman"/>
          <w:sz w:val="24"/>
          <w:szCs w:val="24"/>
          <w:lang w:eastAsia="es-ES"/>
        </w:rPr>
        <w:t>icencia). Mientras tanto, se lucha por conseguir una relación más equitativa entre ambas partes (requiriendo a dichos actores particulares su contribución al patrimonio común en retorno por los usos disfrutados).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 través de este modelo se puede mejorar la</w:t>
      </w:r>
      <w:r>
        <w:rPr>
          <w:rFonts w:ascii="Times New Roman" w:eastAsia="Times New Roman" w:hAnsi="Times New Roman" w:cs="Times New Roman"/>
          <w:sz w:val="24"/>
          <w:szCs w:val="24"/>
          <w:lang w:eastAsia="es-ES"/>
        </w:rPr>
        <w:t xml:space="preserve"> igualdad sin excluir a las entidades corporativas de la posibilidad de contribuir al procomún por otros medios que no sean el dinero. Mientras, se permite a usuarios desfavorecidos y sin ánimos comerciales beneficiarse de los bienes comunes sin importar s</w:t>
      </w:r>
      <w:r>
        <w:rPr>
          <w:rFonts w:ascii="Times New Roman" w:eastAsia="Times New Roman" w:hAnsi="Times New Roman" w:cs="Times New Roman"/>
          <w:sz w:val="24"/>
          <w:szCs w:val="24"/>
          <w:lang w:eastAsia="es-ES"/>
        </w:rPr>
        <w:t xml:space="preserve">u capacidad inicial de contribuir. A este respecto, la cláusula «No Comercial» es importante puesto que sin ella el modelo no sería muy diferente de un colectivo </w:t>
      </w:r>
      <w:r>
        <w:rPr>
          <w:rFonts w:ascii="Times New Roman" w:eastAsia="Times New Roman" w:hAnsi="Times New Roman" w:cs="Times New Roman"/>
          <w:i/>
          <w:sz w:val="24"/>
          <w:szCs w:val="24"/>
          <w:lang w:eastAsia="es-ES"/>
        </w:rPr>
        <w:t>copyright</w:t>
      </w:r>
      <w:r>
        <w:rPr>
          <w:rFonts w:ascii="Times New Roman" w:eastAsia="Times New Roman" w:hAnsi="Times New Roman" w:cs="Times New Roman"/>
          <w:sz w:val="24"/>
          <w:szCs w:val="24"/>
          <w:lang w:eastAsia="es-ES"/>
        </w:rPr>
        <w:t xml:space="preserve"> (tales como ASCAP, SACEM) usando una moneda interna entre pares alternativa al diner</w:t>
      </w:r>
      <w:r>
        <w:rPr>
          <w:rFonts w:ascii="Times New Roman" w:eastAsia="Times New Roman" w:hAnsi="Times New Roman" w:cs="Times New Roman"/>
          <w:sz w:val="24"/>
          <w:szCs w:val="24"/>
          <w:lang w:eastAsia="es-ES"/>
        </w:rPr>
        <w:t>o real.</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Este enfoque es, en general, consistente con los principios subyacentes de la «economía del regalo» que caracteriza muchas iniciativas de «producción social» o la «producción entre iguales basada en el procomún» (</w:t>
      </w:r>
      <w:proofErr w:type="spellStart"/>
      <w:r>
        <w:rPr>
          <w:rFonts w:ascii="Times New Roman" w:eastAsia="Times New Roman" w:hAnsi="Times New Roman" w:cs="Times New Roman"/>
          <w:sz w:val="24"/>
          <w:szCs w:val="24"/>
          <w:lang w:eastAsia="es-ES"/>
        </w:rPr>
        <w:t>Benkler</w:t>
      </w:r>
      <w:proofErr w:type="spellEnd"/>
      <w:r>
        <w:rPr>
          <w:rFonts w:ascii="Times New Roman" w:eastAsia="Times New Roman" w:hAnsi="Times New Roman" w:cs="Times New Roman"/>
          <w:sz w:val="24"/>
          <w:szCs w:val="24"/>
          <w:lang w:eastAsia="es-ES"/>
        </w:rPr>
        <w:t>, 2002, 2006). Permite a los</w:t>
      </w:r>
      <w:r>
        <w:rPr>
          <w:rFonts w:ascii="Times New Roman" w:eastAsia="Times New Roman" w:hAnsi="Times New Roman" w:cs="Times New Roman"/>
          <w:sz w:val="24"/>
          <w:szCs w:val="24"/>
          <w:lang w:eastAsia="es-ES"/>
        </w:rPr>
        <w:t xml:space="preserve"> autores contribuir al patrimonio común bajo una cierta expectativa de reciprocidad, al mismo tiempo que proporciona un medio para evitar que los actores comerciales que no contribuyen se aprovechen de ello.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 interesante apuntar que la «cláusula de recip</w:t>
      </w:r>
      <w:r>
        <w:rPr>
          <w:rFonts w:ascii="Times New Roman" w:eastAsia="Times New Roman" w:hAnsi="Times New Roman" w:cs="Times New Roman"/>
          <w:sz w:val="24"/>
          <w:szCs w:val="24"/>
          <w:lang w:eastAsia="es-ES"/>
        </w:rPr>
        <w:t>rocidad» en realidad presenta una expectativa de «reciprocidad por adelantado» –en oposición al concepto más tradicional de «reciprocidad diferida»– porque cada entidad debe contribuir de antemano para obtener «fichas» y por lo tanto hacer uso comercial de</w:t>
      </w:r>
      <w:r>
        <w:rPr>
          <w:rFonts w:ascii="Times New Roman" w:eastAsia="Times New Roman" w:hAnsi="Times New Roman" w:cs="Times New Roman"/>
          <w:sz w:val="24"/>
          <w:szCs w:val="24"/>
          <w:lang w:eastAsia="es-ES"/>
        </w:rPr>
        <w:t xml:space="preserve">l patrimonio común. De hecho, a diferencia de la cláusula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que presenta una obligación de contribuir posteriormente a lo común, un sistema basado en una «moneda entre pares» constituye esencialmente una protección por adelantado contra los oportun</w:t>
      </w:r>
      <w:r>
        <w:rPr>
          <w:rFonts w:ascii="Times New Roman" w:eastAsia="Times New Roman" w:hAnsi="Times New Roman" w:cs="Times New Roman"/>
          <w:sz w:val="24"/>
          <w:szCs w:val="24"/>
          <w:lang w:eastAsia="es-ES"/>
        </w:rPr>
        <w:t xml:space="preserve">istas. Por otra parte, la reciprocidad permanece diferida desde la perspectiva de los usuarios sin ánimos comerciales. Cuando contribuyen al patrimonio común saben que grandes corporaciones como Google o Facebook solo podrán aprovechar su trabajo hasta el </w:t>
      </w:r>
      <w:r>
        <w:rPr>
          <w:rFonts w:ascii="Times New Roman" w:eastAsia="Times New Roman" w:hAnsi="Times New Roman" w:cs="Times New Roman"/>
          <w:sz w:val="24"/>
          <w:szCs w:val="24"/>
          <w:lang w:eastAsia="es-ES"/>
        </w:rPr>
        <w:t>mismo grado en que estos contribuyan con retornos al procomún, ya sea produciendo y contribuyendo para obtener créditos o pagando los correspondientes derechos de licencia.</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Por último, al crear un «espacio alternativo de intercambio» dentro del procomún, e</w:t>
      </w:r>
      <w:r>
        <w:rPr>
          <w:rFonts w:ascii="Times New Roman" w:eastAsia="Times New Roman" w:hAnsi="Times New Roman" w:cs="Times New Roman"/>
          <w:sz w:val="24"/>
          <w:szCs w:val="24"/>
          <w:lang w:eastAsia="es-ES"/>
        </w:rPr>
        <w:t xml:space="preserve">ste enfoque tiene la ventaja de reducir la dependencia de los esquemas basados en el mercado y podría contribuir potencialmente a la </w:t>
      </w:r>
      <w:proofErr w:type="spellStart"/>
      <w:r>
        <w:rPr>
          <w:rFonts w:ascii="Times New Roman" w:eastAsia="Times New Roman" w:hAnsi="Times New Roman" w:cs="Times New Roman"/>
          <w:sz w:val="24"/>
          <w:szCs w:val="24"/>
          <w:lang w:eastAsia="es-ES"/>
        </w:rPr>
        <w:t>desmercantilización</w:t>
      </w:r>
      <w:proofErr w:type="spellEnd"/>
      <w:r>
        <w:rPr>
          <w:rFonts w:ascii="Times New Roman" w:eastAsia="Times New Roman" w:hAnsi="Times New Roman" w:cs="Times New Roman"/>
          <w:sz w:val="24"/>
          <w:szCs w:val="24"/>
          <w:lang w:eastAsia="es-ES"/>
        </w:rPr>
        <w:t xml:space="preserve"> de los bienes culturales. De hecho, según deja de ser necesario que vendamos nuestro trabajo para adqui</w:t>
      </w:r>
      <w:r>
        <w:rPr>
          <w:rFonts w:ascii="Times New Roman" w:eastAsia="Times New Roman" w:hAnsi="Times New Roman" w:cs="Times New Roman"/>
          <w:sz w:val="24"/>
          <w:szCs w:val="24"/>
          <w:lang w:eastAsia="es-ES"/>
        </w:rPr>
        <w:t>rir bienes culturales, podemos decidir más libremente si entrar o no en el sistema de mercado.</w:t>
      </w: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B. Inconvenientes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Este modelo de licencia que aquí bosquejamos no está exento de problemas potenciales. Uno importante consiste en la determinación de la «tasa d</w:t>
      </w:r>
      <w:r>
        <w:rPr>
          <w:rFonts w:ascii="Times New Roman" w:eastAsia="Times New Roman" w:hAnsi="Times New Roman" w:cs="Times New Roman"/>
          <w:sz w:val="24"/>
          <w:szCs w:val="24"/>
          <w:lang w:eastAsia="es-ES"/>
        </w:rPr>
        <w:t>e cambio» entre diferentes tipos de obras. Es decir, ¿cómo podemos medir las contribuciones individuales (de diferentes ámbitos) en términos de monedas? ¿Cuántas fichas se deberían otorgar al usuario que contribuye con una imagen, un vídeo o un relato cort</w:t>
      </w:r>
      <w:r>
        <w:rPr>
          <w:rFonts w:ascii="Times New Roman" w:eastAsia="Times New Roman" w:hAnsi="Times New Roman" w:cs="Times New Roman"/>
          <w:sz w:val="24"/>
          <w:szCs w:val="24"/>
          <w:lang w:eastAsia="es-ES"/>
        </w:rPr>
        <w:t>o al patrimonio común? ¿Deberían premiarse con menos monedas las obras derivadas o las mejoras? ¿Debería el sistema intentar abordar cualquier medida de calidad o mérito artístico en estas obras? Y en tal caso, ¿quién sería responsable de esta evaluación?</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Mientras que estas cuestiones implican consideraciones complejas y serias, creemos que cierto nivel de arbitrariedad en la evaluación inicial no supondría un impedimento definitivo para que este sistema se llevase a cabo. La comunidad podría refinar gradua</w:t>
      </w:r>
      <w:r>
        <w:rPr>
          <w:rFonts w:ascii="Times New Roman" w:eastAsia="Times New Roman" w:hAnsi="Times New Roman" w:cs="Times New Roman"/>
          <w:sz w:val="24"/>
          <w:szCs w:val="24"/>
          <w:lang w:eastAsia="es-ES"/>
        </w:rPr>
        <w:t>lmente las directrices para la asignación de monedas y así establecer un grado razonable de equidad e imparcialidad en el sistema. Se evitaría el efecto rebaño y la especulación con el sistema de monedas propuesto. Finalmente los incentivos para «hacer tra</w:t>
      </w:r>
      <w:r>
        <w:rPr>
          <w:rFonts w:ascii="Times New Roman" w:eastAsia="Times New Roman" w:hAnsi="Times New Roman" w:cs="Times New Roman"/>
          <w:sz w:val="24"/>
          <w:szCs w:val="24"/>
          <w:lang w:eastAsia="es-ES"/>
        </w:rPr>
        <w:t>mpas», por ejemplo mediante contribuciones frívolas al patrimonio común como estrategia para permitir la explotación comercial de sus obras, serían reducidos.</w:t>
      </w: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III. Conclusiones: hacia una economía de lo común</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análisis en profundidad de </w:t>
      </w:r>
      <w:proofErr w:type="spellStart"/>
      <w:r>
        <w:rPr>
          <w:rFonts w:ascii="Times New Roman" w:eastAsia="Times New Roman" w:hAnsi="Times New Roman" w:cs="Times New Roman"/>
          <w:sz w:val="24"/>
          <w:szCs w:val="24"/>
          <w:lang w:eastAsia="es-ES"/>
        </w:rPr>
        <w:t>Yochai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Benkler</w:t>
      </w:r>
      <w:proofErr w:type="spellEnd"/>
      <w:r>
        <w:rPr>
          <w:rFonts w:ascii="Times New Roman" w:eastAsia="Times New Roman" w:hAnsi="Times New Roman" w:cs="Times New Roman"/>
          <w:sz w:val="24"/>
          <w:szCs w:val="24"/>
          <w:lang w:eastAsia="es-ES"/>
        </w:rPr>
        <w:t xml:space="preserve"> so</w:t>
      </w:r>
      <w:r>
        <w:rPr>
          <w:rFonts w:ascii="Times New Roman" w:eastAsia="Times New Roman" w:hAnsi="Times New Roman" w:cs="Times New Roman"/>
          <w:sz w:val="24"/>
          <w:szCs w:val="24"/>
          <w:lang w:eastAsia="es-ES"/>
        </w:rPr>
        <w:t xml:space="preserve">bre la producción entre iguales basada en el procomún ha mostrado que es posible llevar a cabo grandes proyectos con éxito gracias a la contribución de una comunidad extensa de gente que participa voluntariamente, sin motivos comerciales explícitos, y que </w:t>
      </w:r>
      <w:r>
        <w:rPr>
          <w:rFonts w:ascii="Times New Roman" w:eastAsia="Times New Roman" w:hAnsi="Times New Roman" w:cs="Times New Roman"/>
          <w:sz w:val="24"/>
          <w:szCs w:val="24"/>
          <w:lang w:eastAsia="es-ES"/>
        </w:rPr>
        <w:t>se coordina libremente sin depender de las formas tradicionales de organización jerárquica (</w:t>
      </w:r>
      <w:proofErr w:type="spellStart"/>
      <w:r>
        <w:rPr>
          <w:rFonts w:ascii="Times New Roman" w:eastAsia="Times New Roman" w:hAnsi="Times New Roman" w:cs="Times New Roman"/>
          <w:sz w:val="24"/>
          <w:szCs w:val="24"/>
          <w:lang w:eastAsia="es-ES"/>
        </w:rPr>
        <w:t>Benkler</w:t>
      </w:r>
      <w:proofErr w:type="spellEnd"/>
      <w:r>
        <w:rPr>
          <w:rFonts w:ascii="Times New Roman" w:eastAsia="Times New Roman" w:hAnsi="Times New Roman" w:cs="Times New Roman"/>
          <w:sz w:val="24"/>
          <w:szCs w:val="24"/>
          <w:lang w:eastAsia="es-ES"/>
        </w:rPr>
        <w:t xml:space="preserve">, 2006). Esto se asemeja a la descripción de Michel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xml:space="preserve"> de una economía entre pares (</w:t>
      </w:r>
      <w:r>
        <w:rPr>
          <w:rFonts w:ascii="Times New Roman" w:eastAsia="Times New Roman" w:hAnsi="Times New Roman" w:cs="Times New Roman"/>
          <w:i/>
          <w:sz w:val="24"/>
          <w:szCs w:val="24"/>
          <w:lang w:eastAsia="es-ES"/>
        </w:rPr>
        <w:t>Peer-to-Peer</w:t>
      </w:r>
      <w:r>
        <w:rPr>
          <w:rFonts w:ascii="Times New Roman" w:eastAsia="Times New Roman" w:hAnsi="Times New Roman" w:cs="Times New Roman"/>
          <w:sz w:val="24"/>
          <w:szCs w:val="24"/>
          <w:lang w:eastAsia="es-ES"/>
        </w:rPr>
        <w:t xml:space="preserve">) sustentada en procesos de base y agentes distribuidos </w:t>
      </w:r>
      <w:r>
        <w:rPr>
          <w:rFonts w:ascii="Times New Roman" w:eastAsia="Times New Roman" w:hAnsi="Times New Roman" w:cs="Times New Roman"/>
          <w:sz w:val="24"/>
          <w:szCs w:val="24"/>
          <w:lang w:eastAsia="es-ES"/>
        </w:rPr>
        <w:t xml:space="preserve">que se comprometen de </w:t>
      </w:r>
      <w:r>
        <w:rPr>
          <w:rFonts w:ascii="Times New Roman" w:eastAsia="Times New Roman" w:hAnsi="Times New Roman" w:cs="Times New Roman"/>
          <w:sz w:val="24"/>
          <w:szCs w:val="24"/>
          <w:lang w:eastAsia="es-ES"/>
        </w:rPr>
        <w:lastRenderedPageBreak/>
        <w:t>manera libre con tareas o actividades orientadas al bien común, sin coerción ni confrontación externa (</w:t>
      </w:r>
      <w:proofErr w:type="spellStart"/>
      <w:r>
        <w:rPr>
          <w:rFonts w:ascii="Times New Roman" w:eastAsia="Times New Roman" w:hAnsi="Times New Roman" w:cs="Times New Roman"/>
          <w:sz w:val="24"/>
          <w:szCs w:val="24"/>
          <w:lang w:eastAsia="es-ES"/>
        </w:rPr>
        <w:t>Bauwens</w:t>
      </w:r>
      <w:proofErr w:type="spellEnd"/>
      <w:r>
        <w:rPr>
          <w:rFonts w:ascii="Times New Roman" w:eastAsia="Times New Roman" w:hAnsi="Times New Roman" w:cs="Times New Roman"/>
          <w:sz w:val="24"/>
          <w:szCs w:val="24"/>
          <w:lang w:eastAsia="es-ES"/>
        </w:rPr>
        <w:t>, 2005a, 2005b).</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Habiéndose originado en primer lugar en el mundo del software con el nacimiento del movimiento Free/Libre O</w:t>
      </w:r>
      <w:r>
        <w:rPr>
          <w:rFonts w:ascii="Times New Roman" w:eastAsia="Times New Roman" w:hAnsi="Times New Roman" w:cs="Times New Roman"/>
          <w:sz w:val="24"/>
          <w:szCs w:val="24"/>
          <w:lang w:eastAsia="es-ES"/>
        </w:rPr>
        <w:t xml:space="preserve">pen </w:t>
      </w:r>
      <w:proofErr w:type="spellStart"/>
      <w:r>
        <w:rPr>
          <w:rFonts w:ascii="Times New Roman" w:eastAsia="Times New Roman" w:hAnsi="Times New Roman" w:cs="Times New Roman"/>
          <w:sz w:val="24"/>
          <w:szCs w:val="24"/>
          <w:lang w:eastAsia="es-ES"/>
        </w:rPr>
        <w:t>Source</w:t>
      </w:r>
      <w:proofErr w:type="spellEnd"/>
      <w:r>
        <w:rPr>
          <w:rFonts w:ascii="Times New Roman" w:eastAsia="Times New Roman" w:hAnsi="Times New Roman" w:cs="Times New Roman"/>
          <w:sz w:val="24"/>
          <w:szCs w:val="24"/>
          <w:lang w:eastAsia="es-ES"/>
        </w:rPr>
        <w:t xml:space="preserve"> Software (De </w:t>
      </w:r>
      <w:proofErr w:type="spellStart"/>
      <w:r>
        <w:rPr>
          <w:rFonts w:ascii="Times New Roman" w:eastAsia="Times New Roman" w:hAnsi="Times New Roman" w:cs="Times New Roman"/>
          <w:sz w:val="24"/>
          <w:szCs w:val="24"/>
          <w:lang w:eastAsia="es-ES"/>
        </w:rPr>
        <w:t>Laat</w:t>
      </w:r>
      <w:proofErr w:type="spellEnd"/>
      <w:r>
        <w:rPr>
          <w:rFonts w:ascii="Times New Roman" w:eastAsia="Times New Roman" w:hAnsi="Times New Roman" w:cs="Times New Roman"/>
          <w:sz w:val="24"/>
          <w:szCs w:val="24"/>
          <w:lang w:eastAsia="es-ES"/>
        </w:rPr>
        <w:t>, 2005), y posteriormente ampliado al ámbito artístico e intelectual con la aparición del movimiento Free Culture / Open Content (</w:t>
      </w:r>
      <w:proofErr w:type="spellStart"/>
      <w:r>
        <w:rPr>
          <w:rFonts w:ascii="Times New Roman" w:eastAsia="Times New Roman" w:hAnsi="Times New Roman" w:cs="Times New Roman"/>
          <w:sz w:val="24"/>
          <w:szCs w:val="24"/>
          <w:lang w:eastAsia="es-ES"/>
        </w:rPr>
        <w:t>Goss</w:t>
      </w:r>
      <w:proofErr w:type="spellEnd"/>
      <w:r>
        <w:rPr>
          <w:rFonts w:ascii="Times New Roman" w:eastAsia="Times New Roman" w:hAnsi="Times New Roman" w:cs="Times New Roman"/>
          <w:sz w:val="24"/>
          <w:szCs w:val="24"/>
          <w:lang w:eastAsia="es-ES"/>
        </w:rPr>
        <w:t xml:space="preserve">, 2007), el enfoque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frente a las licencias </w:t>
      </w:r>
      <w:r>
        <w:rPr>
          <w:rFonts w:ascii="Times New Roman" w:eastAsia="Times New Roman" w:hAnsi="Times New Roman" w:cs="Times New Roman"/>
          <w:i/>
          <w:sz w:val="24"/>
          <w:szCs w:val="24"/>
          <w:lang w:eastAsia="es-ES"/>
        </w:rPr>
        <w:t>copyright</w:t>
      </w:r>
      <w:r>
        <w:rPr>
          <w:rFonts w:ascii="Times New Roman" w:eastAsia="Times New Roman" w:hAnsi="Times New Roman" w:cs="Times New Roman"/>
          <w:sz w:val="24"/>
          <w:szCs w:val="24"/>
          <w:lang w:eastAsia="es-ES"/>
        </w:rPr>
        <w:t xml:space="preserve"> estimuló el establecimiento de u</w:t>
      </w:r>
      <w:r>
        <w:rPr>
          <w:rFonts w:ascii="Times New Roman" w:eastAsia="Times New Roman" w:hAnsi="Times New Roman" w:cs="Times New Roman"/>
          <w:sz w:val="24"/>
          <w:szCs w:val="24"/>
          <w:lang w:eastAsia="es-ES"/>
        </w:rPr>
        <w:t xml:space="preserve">n grupo creciente de recursos estructurados como bienes comunes. Esto promovió, y en buena medida apoyó, el desarrollo de un modo alternativo de producción socio-económica orientado a la cooperación, colaboración y participación para el bien común, en vez </w:t>
      </w:r>
      <w:r>
        <w:rPr>
          <w:rFonts w:ascii="Times New Roman" w:eastAsia="Times New Roman" w:hAnsi="Times New Roman" w:cs="Times New Roman"/>
          <w:sz w:val="24"/>
          <w:szCs w:val="24"/>
          <w:lang w:eastAsia="es-ES"/>
        </w:rPr>
        <w:t>de para la acumulación de capital y la maximización de beneficios (</w:t>
      </w:r>
      <w:proofErr w:type="spellStart"/>
      <w:r>
        <w:rPr>
          <w:rFonts w:ascii="Times New Roman" w:eastAsia="Times New Roman" w:hAnsi="Times New Roman" w:cs="Times New Roman"/>
          <w:sz w:val="24"/>
          <w:szCs w:val="24"/>
          <w:lang w:eastAsia="es-ES"/>
        </w:rPr>
        <w:t>Stallman</w:t>
      </w:r>
      <w:proofErr w:type="spellEnd"/>
      <w:r>
        <w:rPr>
          <w:rFonts w:ascii="Times New Roman" w:eastAsia="Times New Roman" w:hAnsi="Times New Roman" w:cs="Times New Roman"/>
          <w:sz w:val="24"/>
          <w:szCs w:val="24"/>
          <w:lang w:eastAsia="es-ES"/>
        </w:rPr>
        <w:t>, 1998).</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Aprovechando los principios subyacentes del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–cuyo objetivo final puede interpretarse como una forma de prevenir la mercantilización de lo común–, el enfoque </w:t>
      </w:r>
      <w:proofErr w:type="spellStart"/>
      <w:r>
        <w:rPr>
          <w:rFonts w:ascii="Times New Roman" w:eastAsia="Times New Roman" w:hAnsi="Times New Roman" w:cs="Times New Roman"/>
          <w:i/>
          <w:sz w:val="24"/>
          <w:szCs w:val="24"/>
          <w:lang w:eastAsia="es-ES"/>
        </w:rPr>
        <w:t>copyfa</w:t>
      </w:r>
      <w:r>
        <w:rPr>
          <w:rFonts w:ascii="Times New Roman" w:eastAsia="Times New Roman" w:hAnsi="Times New Roman" w:cs="Times New Roman"/>
          <w:i/>
          <w:sz w:val="24"/>
          <w:szCs w:val="24"/>
          <w:lang w:eastAsia="es-ES"/>
        </w:rPr>
        <w:t>rleft</w:t>
      </w:r>
      <w:proofErr w:type="spellEnd"/>
      <w:r>
        <w:rPr>
          <w:rFonts w:ascii="Times New Roman" w:eastAsia="Times New Roman" w:hAnsi="Times New Roman" w:cs="Times New Roman"/>
          <w:sz w:val="24"/>
          <w:szCs w:val="24"/>
          <w:lang w:eastAsia="es-ES"/>
        </w:rPr>
        <w:t xml:space="preserve"> constituye un intento de dar más poder a la comunidad estimulando el cambio desde una economía meramente basada en el mercado (gobernada por entidades corporativas) a una economía basada en el bien común (dependiente de la </w:t>
      </w:r>
      <w:proofErr w:type="spellStart"/>
      <w:r>
        <w:rPr>
          <w:rFonts w:ascii="Times New Roman" w:eastAsia="Times New Roman" w:hAnsi="Times New Roman" w:cs="Times New Roman"/>
          <w:sz w:val="24"/>
          <w:szCs w:val="24"/>
          <w:lang w:eastAsia="es-ES"/>
        </w:rPr>
        <w:t>autoorganización</w:t>
      </w:r>
      <w:proofErr w:type="spellEnd"/>
      <w:r>
        <w:rPr>
          <w:rFonts w:ascii="Times New Roman" w:eastAsia="Times New Roman" w:hAnsi="Times New Roman" w:cs="Times New Roman"/>
          <w:sz w:val="24"/>
          <w:szCs w:val="24"/>
          <w:lang w:eastAsia="es-ES"/>
        </w:rPr>
        <w:t xml:space="preserve"> de los tra</w:t>
      </w:r>
      <w:r>
        <w:rPr>
          <w:rFonts w:ascii="Times New Roman" w:eastAsia="Times New Roman" w:hAnsi="Times New Roman" w:cs="Times New Roman"/>
          <w:sz w:val="24"/>
          <w:szCs w:val="24"/>
          <w:lang w:eastAsia="es-ES"/>
        </w:rPr>
        <w:t>bajadores y las normas de la comunidad).</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Aunque la licencia Peer </w:t>
      </w:r>
      <w:proofErr w:type="spellStart"/>
      <w:r>
        <w:rPr>
          <w:rFonts w:ascii="Times New Roman" w:eastAsia="Times New Roman" w:hAnsi="Times New Roman" w:cs="Times New Roman"/>
          <w:sz w:val="24"/>
          <w:szCs w:val="24"/>
          <w:lang w:eastAsia="es-ES"/>
        </w:rPr>
        <w:t>Production</w:t>
      </w:r>
      <w:proofErr w:type="spellEnd"/>
      <w:r>
        <w:rPr>
          <w:rFonts w:ascii="Times New Roman" w:eastAsia="Times New Roman" w:hAnsi="Times New Roman" w:cs="Times New Roman"/>
          <w:sz w:val="24"/>
          <w:szCs w:val="24"/>
          <w:lang w:eastAsia="es-ES"/>
        </w:rPr>
        <w:t xml:space="preserve">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presenta importantes ventajas en cuanto a apoyar a los actores de una economía basada en el bien común, junto con la reducción de oportunidades de aprovechamiento y coop</w:t>
      </w:r>
      <w:r>
        <w:rPr>
          <w:rFonts w:ascii="Times New Roman" w:eastAsia="Times New Roman" w:hAnsi="Times New Roman" w:cs="Times New Roman"/>
          <w:sz w:val="24"/>
          <w:szCs w:val="24"/>
          <w:lang w:eastAsia="es-ES"/>
        </w:rPr>
        <w:t>tación por parte de entidades comerciales, conlleva el importante inconveniente de excluir a las entidades corporativas de la oportunidad de contribuir al patrimonio común de un modo más directo, que no se limite a pagar los derechos de licencia.</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licenc</w:t>
      </w:r>
      <w:r>
        <w:rPr>
          <w:rFonts w:ascii="Times New Roman" w:eastAsia="Times New Roman" w:hAnsi="Times New Roman" w:cs="Times New Roman"/>
          <w:sz w:val="24"/>
          <w:szCs w:val="24"/>
          <w:lang w:eastAsia="es-ES"/>
        </w:rPr>
        <w:t xml:space="preserve">ia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Reciprocity</w:t>
      </w:r>
      <w:proofErr w:type="spellEnd"/>
      <w:r>
        <w:rPr>
          <w:rFonts w:ascii="Times New Roman" w:eastAsia="Times New Roman" w:hAnsi="Times New Roman" w:cs="Times New Roman"/>
          <w:sz w:val="24"/>
          <w:szCs w:val="24"/>
          <w:lang w:eastAsia="es-ES"/>
        </w:rPr>
        <w:t xml:space="preserve"> esbozada en este artículo busca conseguir resultados similares al diseño de licencia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Sin embargo, enfoca el problema de un modo menos drástico: no excluye arbitrariamente a las entidades comerciales de acuerdo con su mode</w:t>
      </w:r>
      <w:r>
        <w:rPr>
          <w:rFonts w:ascii="Times New Roman" w:eastAsia="Times New Roman" w:hAnsi="Times New Roman" w:cs="Times New Roman"/>
          <w:sz w:val="24"/>
          <w:szCs w:val="24"/>
          <w:lang w:eastAsia="es-ES"/>
        </w:rPr>
        <w:t>lo de producción (ej.: trabajo asalariado frente al modelo cooperativo) sino dependiendo de si ya han contribuido o no con recursos al procomún [11]. Puede ser visto como un enfoque de transición con el objetivo de proteger al patrimonio común de la mercan</w:t>
      </w:r>
      <w:r>
        <w:rPr>
          <w:rFonts w:ascii="Times New Roman" w:eastAsia="Times New Roman" w:hAnsi="Times New Roman" w:cs="Times New Roman"/>
          <w:sz w:val="24"/>
          <w:szCs w:val="24"/>
          <w:lang w:eastAsia="es-ES"/>
        </w:rPr>
        <w:t xml:space="preserve">tilización sin aislarlo de las estructuras y los servicios de producción existentes. Así, hasta el punto de que el patrimonio común asuma un papel tan importante en la sociedad que el esquema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propuesto por </w:t>
      </w:r>
      <w:proofErr w:type="spellStart"/>
      <w:r>
        <w:rPr>
          <w:rFonts w:ascii="Times New Roman" w:eastAsia="Times New Roman" w:hAnsi="Times New Roman" w:cs="Times New Roman"/>
          <w:sz w:val="24"/>
          <w:szCs w:val="24"/>
          <w:lang w:eastAsia="es-ES"/>
        </w:rPr>
        <w:t>Dmytri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sea </w:t>
      </w:r>
      <w:r>
        <w:rPr>
          <w:rFonts w:ascii="Times New Roman" w:eastAsia="Times New Roman" w:hAnsi="Times New Roman" w:cs="Times New Roman"/>
          <w:sz w:val="24"/>
          <w:szCs w:val="24"/>
          <w:lang w:eastAsia="es-ES"/>
        </w:rPr>
        <w:lastRenderedPageBreak/>
        <w:t>efectivamente capaz de conseguir la masa crítica de usuarios necesaria para tener éxito en superar el modelo de producción capitalista.</w:t>
      </w:r>
    </w:p>
    <w:p w:rsidR="00542547" w:rsidRDefault="00542547">
      <w:pPr>
        <w:pStyle w:val="Heading3"/>
        <w:spacing w:before="113" w:after="57" w:line="360" w:lineRule="auto"/>
        <w:jc w:val="both"/>
        <w:rPr>
          <w:rFonts w:ascii="Times New Roman" w:eastAsia="Times New Roman" w:hAnsi="Times New Roman"/>
          <w:b/>
          <w:bCs/>
          <w:color w:val="00000A"/>
          <w:lang w:eastAsia="es-ES"/>
        </w:rPr>
      </w:pPr>
    </w:p>
    <w:p w:rsidR="00542547" w:rsidRDefault="00393AD3">
      <w:pPr>
        <w:pStyle w:val="Heading3"/>
        <w:spacing w:before="113" w:after="57" w:line="360" w:lineRule="auto"/>
        <w:jc w:val="both"/>
        <w:rPr>
          <w:rFonts w:ascii="Times New Roman" w:eastAsia="Times New Roman" w:hAnsi="Times New Roman"/>
          <w:b/>
          <w:bCs/>
          <w:color w:val="00000A"/>
          <w:lang w:eastAsia="es-ES"/>
        </w:rPr>
      </w:pPr>
      <w:r>
        <w:rPr>
          <w:rFonts w:ascii="Times New Roman" w:eastAsia="Times New Roman" w:hAnsi="Times New Roman"/>
          <w:b/>
          <w:bCs/>
          <w:color w:val="00000A"/>
          <w:lang w:eastAsia="es-ES"/>
        </w:rPr>
        <w:t>Agradecimientos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autores agradecen a Stan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Alan </w:t>
      </w:r>
      <w:proofErr w:type="spellStart"/>
      <w:r>
        <w:rPr>
          <w:rFonts w:ascii="Times New Roman" w:eastAsia="Times New Roman" w:hAnsi="Times New Roman" w:cs="Times New Roman"/>
          <w:sz w:val="24"/>
          <w:szCs w:val="24"/>
          <w:lang w:eastAsia="es-ES"/>
        </w:rPr>
        <w:t>Toner</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Dmytri</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y </w:t>
      </w:r>
      <w:r>
        <w:rPr>
          <w:rFonts w:ascii="Times New Roman" w:eastAsia="Times New Roman" w:hAnsi="Times New Roman" w:cs="Times New Roman"/>
          <w:sz w:val="24"/>
          <w:szCs w:val="24"/>
          <w:lang w:eastAsia="es-ES"/>
        </w:rPr>
        <w:t xml:space="preserve">Stefan </w:t>
      </w:r>
      <w:proofErr w:type="spellStart"/>
      <w:r>
        <w:rPr>
          <w:rFonts w:ascii="Times New Roman" w:eastAsia="Times New Roman" w:hAnsi="Times New Roman" w:cs="Times New Roman"/>
          <w:sz w:val="24"/>
          <w:szCs w:val="24"/>
          <w:lang w:eastAsia="es-ES"/>
        </w:rPr>
        <w:t>Mertez</w:t>
      </w:r>
      <w:proofErr w:type="spellEnd"/>
      <w:r>
        <w:rPr>
          <w:rFonts w:ascii="Times New Roman" w:eastAsia="Times New Roman" w:hAnsi="Times New Roman" w:cs="Times New Roman"/>
          <w:sz w:val="24"/>
          <w:szCs w:val="24"/>
          <w:lang w:eastAsia="es-ES"/>
        </w:rPr>
        <w:t xml:space="preserve"> sus comentarios en determinadas secciones de este artículo.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Miguel Said Vieira, Facultad de Educación, Universidad de Sao Paulo; msaid@usp.br, http://impropriedades.wordpress.com; recibe una beca de doctorado de Capes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Primavera De </w:t>
      </w:r>
      <w:proofErr w:type="spellStart"/>
      <w:r>
        <w:rPr>
          <w:rFonts w:ascii="Times New Roman" w:eastAsia="Times New Roman" w:hAnsi="Times New Roman" w:cs="Times New Roman"/>
          <w:sz w:val="24"/>
          <w:szCs w:val="24"/>
          <w:lang w:eastAsia="es-ES"/>
        </w:rPr>
        <w:t>Filippi</w:t>
      </w:r>
      <w:proofErr w:type="spellEnd"/>
      <w:r>
        <w:rPr>
          <w:rFonts w:ascii="Times New Roman" w:eastAsia="Times New Roman" w:hAnsi="Times New Roman" w:cs="Times New Roman"/>
          <w:sz w:val="24"/>
          <w:szCs w:val="24"/>
          <w:lang w:eastAsia="es-ES"/>
        </w:rPr>
        <w:t>, Ce</w:t>
      </w:r>
      <w:r>
        <w:rPr>
          <w:rFonts w:ascii="Times New Roman" w:eastAsia="Times New Roman" w:hAnsi="Times New Roman" w:cs="Times New Roman"/>
          <w:sz w:val="24"/>
          <w:szCs w:val="24"/>
          <w:lang w:eastAsia="es-ES"/>
        </w:rPr>
        <w:t xml:space="preserve">ntre </w:t>
      </w:r>
      <w:proofErr w:type="spellStart"/>
      <w:r>
        <w:rPr>
          <w:rFonts w:ascii="Times New Roman" w:eastAsia="Times New Roman" w:hAnsi="Times New Roman" w:cs="Times New Roman"/>
          <w:sz w:val="24"/>
          <w:szCs w:val="24"/>
          <w:lang w:eastAsia="es-ES"/>
        </w:rPr>
        <w:t>d’Études</w:t>
      </w:r>
      <w:proofErr w:type="spellEnd"/>
      <w:r>
        <w:rPr>
          <w:rFonts w:ascii="Times New Roman" w:eastAsia="Times New Roman" w:hAnsi="Times New Roman" w:cs="Times New Roman"/>
          <w:sz w:val="24"/>
          <w:szCs w:val="24"/>
          <w:lang w:eastAsia="es-ES"/>
        </w:rPr>
        <w:t xml:space="preserve"> et de </w:t>
      </w:r>
      <w:proofErr w:type="spellStart"/>
      <w:r>
        <w:rPr>
          <w:rFonts w:ascii="Times New Roman" w:eastAsia="Times New Roman" w:hAnsi="Times New Roman" w:cs="Times New Roman"/>
          <w:sz w:val="24"/>
          <w:szCs w:val="24"/>
          <w:lang w:eastAsia="es-ES"/>
        </w:rPr>
        <w:t>Recherche</w:t>
      </w:r>
      <w:proofErr w:type="spellEnd"/>
      <w:r>
        <w:rPr>
          <w:rFonts w:ascii="Times New Roman" w:eastAsia="Times New Roman" w:hAnsi="Times New Roman" w:cs="Times New Roman"/>
          <w:sz w:val="24"/>
          <w:szCs w:val="24"/>
          <w:lang w:eastAsia="es-ES"/>
        </w:rPr>
        <w:t xml:space="preserve"> en </w:t>
      </w:r>
      <w:proofErr w:type="spellStart"/>
      <w:r>
        <w:rPr>
          <w:rFonts w:ascii="Times New Roman" w:eastAsia="Times New Roman" w:hAnsi="Times New Roman" w:cs="Times New Roman"/>
          <w:sz w:val="24"/>
          <w:szCs w:val="24"/>
          <w:lang w:eastAsia="es-ES"/>
        </w:rPr>
        <w:t>Sciences</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Administratives</w:t>
      </w:r>
      <w:proofErr w:type="spellEnd"/>
      <w:r>
        <w:rPr>
          <w:rFonts w:ascii="Times New Roman" w:eastAsia="Times New Roman" w:hAnsi="Times New Roman" w:cs="Times New Roman"/>
          <w:sz w:val="24"/>
          <w:szCs w:val="24"/>
          <w:lang w:eastAsia="es-ES"/>
        </w:rPr>
        <w:t xml:space="preserve"> et </w:t>
      </w:r>
      <w:proofErr w:type="spellStart"/>
      <w:r>
        <w:rPr>
          <w:rFonts w:ascii="Times New Roman" w:eastAsia="Times New Roman" w:hAnsi="Times New Roman" w:cs="Times New Roman"/>
          <w:sz w:val="24"/>
          <w:szCs w:val="24"/>
          <w:lang w:eastAsia="es-ES"/>
        </w:rPr>
        <w:t>Politiques</w:t>
      </w:r>
      <w:proofErr w:type="spellEnd"/>
      <w:r>
        <w:rPr>
          <w:rFonts w:ascii="Times New Roman" w:eastAsia="Times New Roman" w:hAnsi="Times New Roman" w:cs="Times New Roman"/>
          <w:sz w:val="24"/>
          <w:szCs w:val="24"/>
          <w:lang w:eastAsia="es-ES"/>
        </w:rPr>
        <w:t>, CERSA/CNRS, pdefilippi@gmail.com</w:t>
      </w:r>
    </w:p>
    <w:p w:rsidR="00542547" w:rsidRDefault="00542547">
      <w:pPr>
        <w:pStyle w:val="Heading2"/>
        <w:spacing w:before="113" w:after="57" w:line="360" w:lineRule="auto"/>
        <w:jc w:val="both"/>
        <w:rPr>
          <w:rFonts w:ascii="Times New Roman" w:hAnsi="Times New Roman"/>
          <w:sz w:val="24"/>
          <w:szCs w:val="24"/>
        </w:rPr>
      </w:pPr>
    </w:p>
    <w:p w:rsidR="00542547" w:rsidRDefault="00393AD3">
      <w:pPr>
        <w:pStyle w:val="Heading2"/>
        <w:spacing w:before="113" w:after="57" w:line="36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Bibliografía</w:t>
      </w:r>
      <w:proofErr w:type="spellEnd"/>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Bauwens</w:t>
      </w:r>
      <w:proofErr w:type="spellEnd"/>
      <w:r>
        <w:rPr>
          <w:rFonts w:ascii="Times New Roman" w:eastAsia="Times New Roman" w:hAnsi="Times New Roman" w:cs="Times New Roman"/>
          <w:sz w:val="24"/>
          <w:szCs w:val="24"/>
          <w:lang w:val="en-US" w:eastAsia="es-ES"/>
        </w:rPr>
        <w:t xml:space="preserve">, M. (2005a). The political economy of peer production. </w:t>
      </w:r>
      <w:proofErr w:type="spellStart"/>
      <w:r>
        <w:rPr>
          <w:rFonts w:ascii="Times New Roman" w:eastAsia="Times New Roman" w:hAnsi="Times New Roman" w:cs="Times New Roman"/>
          <w:sz w:val="24"/>
          <w:szCs w:val="24"/>
          <w:lang w:val="en-US" w:eastAsia="es-ES"/>
        </w:rPr>
        <w:t>CTheory</w:t>
      </w:r>
      <w:proofErr w:type="spellEnd"/>
      <w:r>
        <w:rPr>
          <w:rFonts w:ascii="Times New Roman" w:eastAsia="Times New Roman" w:hAnsi="Times New Roman" w:cs="Times New Roman"/>
          <w:sz w:val="24"/>
          <w:szCs w:val="24"/>
          <w:lang w:val="en-US" w:eastAsia="es-ES"/>
        </w:rPr>
        <w:t>, 1.</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Bauwens</w:t>
      </w:r>
      <w:proofErr w:type="spellEnd"/>
      <w:r>
        <w:rPr>
          <w:rFonts w:ascii="Times New Roman" w:eastAsia="Times New Roman" w:hAnsi="Times New Roman" w:cs="Times New Roman"/>
          <w:sz w:val="24"/>
          <w:szCs w:val="24"/>
          <w:lang w:val="en-US" w:eastAsia="es-ES"/>
        </w:rPr>
        <w:t>, M. (2005b). P2P and Human Evolution: Peer to peer as</w:t>
      </w:r>
      <w:r>
        <w:rPr>
          <w:rFonts w:ascii="Times New Roman" w:eastAsia="Times New Roman" w:hAnsi="Times New Roman" w:cs="Times New Roman"/>
          <w:sz w:val="24"/>
          <w:szCs w:val="24"/>
          <w:lang w:val="en-US" w:eastAsia="es-ES"/>
        </w:rPr>
        <w:t xml:space="preserve"> the premise of a new mode of civilization. </w:t>
      </w:r>
      <w:proofErr w:type="spellStart"/>
      <w:r>
        <w:rPr>
          <w:rFonts w:ascii="Times New Roman" w:eastAsia="Times New Roman" w:hAnsi="Times New Roman" w:cs="Times New Roman"/>
          <w:sz w:val="24"/>
          <w:szCs w:val="24"/>
          <w:lang w:val="en-US" w:eastAsia="es-ES"/>
        </w:rPr>
        <w:t>Ensaio</w:t>
      </w:r>
      <w:proofErr w:type="spellEnd"/>
      <w:r>
        <w:rPr>
          <w:rFonts w:ascii="Times New Roman" w:eastAsia="Times New Roman" w:hAnsi="Times New Roman" w:cs="Times New Roman"/>
          <w:sz w:val="24"/>
          <w:szCs w:val="24"/>
          <w:lang w:val="en-US" w:eastAsia="es-ES"/>
        </w:rPr>
        <w:t xml:space="preserve">, </w:t>
      </w:r>
      <w:proofErr w:type="spellStart"/>
      <w:r>
        <w:rPr>
          <w:rFonts w:ascii="Times New Roman" w:eastAsia="Times New Roman" w:hAnsi="Times New Roman" w:cs="Times New Roman"/>
          <w:sz w:val="24"/>
          <w:szCs w:val="24"/>
          <w:lang w:val="en-US" w:eastAsia="es-ES"/>
        </w:rPr>
        <w:t>rascunho</w:t>
      </w:r>
      <w:proofErr w:type="spellEnd"/>
      <w:r>
        <w:rPr>
          <w:rFonts w:ascii="Times New Roman" w:eastAsia="Times New Roman" w:hAnsi="Times New Roman" w:cs="Times New Roman"/>
          <w:sz w:val="24"/>
          <w:szCs w:val="24"/>
          <w:lang w:val="en-US" w:eastAsia="es-ES"/>
        </w:rPr>
        <w:t>, 1.</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Bauwens</w:t>
      </w:r>
      <w:proofErr w:type="spellEnd"/>
      <w:r>
        <w:rPr>
          <w:rFonts w:ascii="Times New Roman" w:eastAsia="Times New Roman" w:hAnsi="Times New Roman" w:cs="Times New Roman"/>
          <w:sz w:val="24"/>
          <w:szCs w:val="24"/>
          <w:lang w:val="en-US" w:eastAsia="es-ES"/>
        </w:rPr>
        <w:t xml:space="preserve">, M. (2012). From the theory of Peer Production to the production of Peer Production theory, </w:t>
      </w:r>
      <w:proofErr w:type="spellStart"/>
      <w:r>
        <w:rPr>
          <w:rFonts w:ascii="Times New Roman" w:eastAsia="Times New Roman" w:hAnsi="Times New Roman" w:cs="Times New Roman"/>
          <w:sz w:val="24"/>
          <w:szCs w:val="24"/>
          <w:lang w:val="en-US" w:eastAsia="es-ES"/>
        </w:rPr>
        <w:t>en</w:t>
      </w:r>
      <w:proofErr w:type="spellEnd"/>
      <w:r>
        <w:rPr>
          <w:rFonts w:ascii="Times New Roman" w:eastAsia="Times New Roman" w:hAnsi="Times New Roman" w:cs="Times New Roman"/>
          <w:sz w:val="24"/>
          <w:szCs w:val="24"/>
          <w:lang w:val="en-US" w:eastAsia="es-ES"/>
        </w:rPr>
        <w:t xml:space="preserve"> Journal of Peer Production, </w:t>
      </w:r>
      <w:proofErr w:type="spellStart"/>
      <w:r>
        <w:rPr>
          <w:rFonts w:ascii="Times New Roman" w:eastAsia="Times New Roman" w:hAnsi="Times New Roman" w:cs="Times New Roman"/>
          <w:sz w:val="24"/>
          <w:szCs w:val="24"/>
          <w:lang w:val="en-US" w:eastAsia="es-ES"/>
        </w:rPr>
        <w:t>número</w:t>
      </w:r>
      <w:proofErr w:type="spellEnd"/>
      <w:r>
        <w:rPr>
          <w:rFonts w:ascii="Times New Roman" w:eastAsia="Times New Roman" w:hAnsi="Times New Roman" w:cs="Times New Roman"/>
          <w:sz w:val="24"/>
          <w:szCs w:val="24"/>
          <w:lang w:val="en-US" w:eastAsia="es-ES"/>
        </w:rPr>
        <w:t xml:space="preserve"> 1, </w:t>
      </w:r>
      <w:proofErr w:type="spellStart"/>
      <w:r>
        <w:rPr>
          <w:rFonts w:ascii="Times New Roman" w:eastAsia="Times New Roman" w:hAnsi="Times New Roman" w:cs="Times New Roman"/>
          <w:sz w:val="24"/>
          <w:szCs w:val="24"/>
          <w:lang w:val="en-US" w:eastAsia="es-ES"/>
        </w:rPr>
        <w:t>julio</w:t>
      </w:r>
      <w:proofErr w:type="spellEnd"/>
      <w:r>
        <w:rPr>
          <w:rFonts w:ascii="Times New Roman" w:eastAsia="Times New Roman" w:hAnsi="Times New Roman" w:cs="Times New Roman"/>
          <w:sz w:val="24"/>
          <w:szCs w:val="24"/>
          <w:lang w:val="en-US" w:eastAsia="es-ES"/>
        </w:rPr>
        <w:t xml:space="preserve"> de 2012.</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Benkler</w:t>
      </w:r>
      <w:proofErr w:type="spellEnd"/>
      <w:r>
        <w:rPr>
          <w:rFonts w:ascii="Times New Roman" w:eastAsia="Times New Roman" w:hAnsi="Times New Roman" w:cs="Times New Roman"/>
          <w:sz w:val="24"/>
          <w:szCs w:val="24"/>
          <w:lang w:val="en-US" w:eastAsia="es-ES"/>
        </w:rPr>
        <w:t>, Y. (2002). “</w:t>
      </w:r>
      <w:proofErr w:type="spellStart"/>
      <w:r>
        <w:rPr>
          <w:rFonts w:ascii="Times New Roman" w:eastAsia="Times New Roman" w:hAnsi="Times New Roman" w:cs="Times New Roman"/>
          <w:sz w:val="24"/>
          <w:szCs w:val="24"/>
          <w:lang w:val="en-US" w:eastAsia="es-ES"/>
        </w:rPr>
        <w:t>Coase’s</w:t>
      </w:r>
      <w:proofErr w:type="spellEnd"/>
      <w:r>
        <w:rPr>
          <w:rFonts w:ascii="Times New Roman" w:eastAsia="Times New Roman" w:hAnsi="Times New Roman" w:cs="Times New Roman"/>
          <w:sz w:val="24"/>
          <w:szCs w:val="24"/>
          <w:lang w:val="en-US" w:eastAsia="es-ES"/>
        </w:rPr>
        <w:t xml:space="preserve"> Pengui</w:t>
      </w:r>
      <w:r>
        <w:rPr>
          <w:rFonts w:ascii="Times New Roman" w:eastAsia="Times New Roman" w:hAnsi="Times New Roman" w:cs="Times New Roman"/>
          <w:sz w:val="24"/>
          <w:szCs w:val="24"/>
          <w:lang w:val="en-US" w:eastAsia="es-ES"/>
        </w:rPr>
        <w:t xml:space="preserve">n, or, Linux and The Nature of the </w:t>
      </w:r>
      <w:proofErr w:type="spellStart"/>
      <w:r>
        <w:rPr>
          <w:rFonts w:ascii="Times New Roman" w:eastAsia="Times New Roman" w:hAnsi="Times New Roman" w:cs="Times New Roman"/>
          <w:sz w:val="24"/>
          <w:szCs w:val="24"/>
          <w:lang w:val="en-US" w:eastAsia="es-ES"/>
        </w:rPr>
        <w:t>Firm”.Yale</w:t>
      </w:r>
      <w:proofErr w:type="spellEnd"/>
      <w:r>
        <w:rPr>
          <w:rFonts w:ascii="Times New Roman" w:eastAsia="Times New Roman" w:hAnsi="Times New Roman" w:cs="Times New Roman"/>
          <w:sz w:val="24"/>
          <w:szCs w:val="24"/>
          <w:lang w:val="en-US" w:eastAsia="es-ES"/>
        </w:rPr>
        <w:t xml:space="preserve"> Law Journal, 369-446.</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Benkler</w:t>
      </w:r>
      <w:proofErr w:type="spellEnd"/>
      <w:r>
        <w:rPr>
          <w:rFonts w:ascii="Times New Roman" w:eastAsia="Times New Roman" w:hAnsi="Times New Roman" w:cs="Times New Roman"/>
          <w:sz w:val="24"/>
          <w:szCs w:val="24"/>
          <w:lang w:val="en-US" w:eastAsia="es-ES"/>
        </w:rPr>
        <w:t>, Y. (2006). The wealth of networks: How social production transforms markets and freedom. Yale University Press.</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De </w:t>
      </w:r>
      <w:proofErr w:type="spellStart"/>
      <w:r>
        <w:rPr>
          <w:rFonts w:ascii="Times New Roman" w:eastAsia="Times New Roman" w:hAnsi="Times New Roman" w:cs="Times New Roman"/>
          <w:sz w:val="24"/>
          <w:szCs w:val="24"/>
          <w:lang w:val="en-US" w:eastAsia="es-ES"/>
        </w:rPr>
        <w:t>Laat</w:t>
      </w:r>
      <w:proofErr w:type="spellEnd"/>
      <w:r>
        <w:rPr>
          <w:rFonts w:ascii="Times New Roman" w:eastAsia="Times New Roman" w:hAnsi="Times New Roman" w:cs="Times New Roman"/>
          <w:sz w:val="24"/>
          <w:szCs w:val="24"/>
          <w:lang w:val="en-US" w:eastAsia="es-ES"/>
        </w:rPr>
        <w:t xml:space="preserve">, P. B. (2005). Copyright or </w:t>
      </w:r>
      <w:proofErr w:type="spellStart"/>
      <w:r>
        <w:rPr>
          <w:rFonts w:ascii="Times New Roman" w:eastAsia="Times New Roman" w:hAnsi="Times New Roman" w:cs="Times New Roman"/>
          <w:sz w:val="24"/>
          <w:szCs w:val="24"/>
          <w:lang w:val="en-US" w:eastAsia="es-ES"/>
        </w:rPr>
        <w:t>copyleft</w:t>
      </w:r>
      <w:proofErr w:type="spellEnd"/>
      <w:proofErr w:type="gramStart"/>
      <w:r>
        <w:rPr>
          <w:rFonts w:ascii="Times New Roman" w:eastAsia="Times New Roman" w:hAnsi="Times New Roman" w:cs="Times New Roman"/>
          <w:sz w:val="24"/>
          <w:szCs w:val="24"/>
          <w:lang w:val="en-US" w:eastAsia="es-ES"/>
        </w:rPr>
        <w:t>?:</w:t>
      </w:r>
      <w:proofErr w:type="gramEnd"/>
      <w:r>
        <w:rPr>
          <w:rFonts w:ascii="Times New Roman" w:eastAsia="Times New Roman" w:hAnsi="Times New Roman" w:cs="Times New Roman"/>
          <w:sz w:val="24"/>
          <w:szCs w:val="24"/>
          <w:lang w:val="en-US" w:eastAsia="es-ES"/>
        </w:rPr>
        <w:t xml:space="preserve"> An analysis of prope</w:t>
      </w:r>
      <w:r>
        <w:rPr>
          <w:rFonts w:ascii="Times New Roman" w:eastAsia="Times New Roman" w:hAnsi="Times New Roman" w:cs="Times New Roman"/>
          <w:sz w:val="24"/>
          <w:szCs w:val="24"/>
          <w:lang w:val="en-US" w:eastAsia="es-ES"/>
        </w:rPr>
        <w:t>rty regimes for software development. Research Policy, 34(10), 1511-1532.</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Downes</w:t>
      </w:r>
      <w:proofErr w:type="spellEnd"/>
      <w:r>
        <w:rPr>
          <w:rFonts w:ascii="Times New Roman" w:eastAsia="Times New Roman" w:hAnsi="Times New Roman" w:cs="Times New Roman"/>
          <w:sz w:val="24"/>
          <w:szCs w:val="24"/>
          <w:lang w:val="en-US" w:eastAsia="es-ES"/>
        </w:rPr>
        <w:t>, S., 2009. The Role of Open Educational Resources in Personal Learning. Open Educational Resources: Innovation, Research and Practice, p. 207.</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Goss, A. K. (2007). Codifying a </w:t>
      </w:r>
      <w:r>
        <w:rPr>
          <w:rFonts w:ascii="Times New Roman" w:eastAsia="Times New Roman" w:hAnsi="Times New Roman" w:cs="Times New Roman"/>
          <w:sz w:val="24"/>
          <w:szCs w:val="24"/>
          <w:lang w:val="en-US" w:eastAsia="es-ES"/>
        </w:rPr>
        <w:t xml:space="preserve">Commons: Copyright, </w:t>
      </w:r>
      <w:proofErr w:type="spellStart"/>
      <w:r>
        <w:rPr>
          <w:rFonts w:ascii="Times New Roman" w:eastAsia="Times New Roman" w:hAnsi="Times New Roman" w:cs="Times New Roman"/>
          <w:sz w:val="24"/>
          <w:szCs w:val="24"/>
          <w:lang w:val="en-US" w:eastAsia="es-ES"/>
        </w:rPr>
        <w:t>Copyleft</w:t>
      </w:r>
      <w:proofErr w:type="spellEnd"/>
      <w:r>
        <w:rPr>
          <w:rFonts w:ascii="Times New Roman" w:eastAsia="Times New Roman" w:hAnsi="Times New Roman" w:cs="Times New Roman"/>
          <w:sz w:val="24"/>
          <w:szCs w:val="24"/>
          <w:lang w:val="en-US" w:eastAsia="es-ES"/>
        </w:rPr>
        <w:t>, and the Creative Commons Project. Chi.-Kent L. Rev., 82, 963.</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US" w:eastAsia="es-ES"/>
        </w:rPr>
        <w:lastRenderedPageBreak/>
        <w:t xml:space="preserve">Hill, B.M., 2005. Freedom’s Standard Advanced? </w:t>
      </w:r>
      <w:r>
        <w:rPr>
          <w:rFonts w:ascii="Times New Roman" w:eastAsia="Times New Roman" w:hAnsi="Times New Roman" w:cs="Times New Roman"/>
          <w:sz w:val="24"/>
          <w:szCs w:val="24"/>
          <w:lang w:eastAsia="es-ES"/>
        </w:rPr>
        <w:t>Mute, 2(1), pp. 46–53. También disponible en &lt;http://www.metamute.org/editorial/articles/freedoms-standard-advanced&gt;</w:t>
      </w:r>
    </w:p>
    <w:p w:rsidR="00542547" w:rsidRDefault="00393AD3">
      <w:pPr>
        <w:spacing w:before="113" w:after="57" w:line="36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val="en-US" w:eastAsia="es-ES"/>
        </w:rPr>
        <w:t>Kleiner</w:t>
      </w:r>
      <w:proofErr w:type="spellEnd"/>
      <w:r>
        <w:rPr>
          <w:rFonts w:ascii="Times New Roman" w:eastAsia="Times New Roman" w:hAnsi="Times New Roman" w:cs="Times New Roman"/>
          <w:sz w:val="24"/>
          <w:szCs w:val="24"/>
          <w:lang w:val="en-US" w:eastAsia="es-ES"/>
        </w:rPr>
        <w:t xml:space="preserve">, D. (2007). </w:t>
      </w:r>
      <w:proofErr w:type="spellStart"/>
      <w:r>
        <w:rPr>
          <w:rFonts w:ascii="Times New Roman" w:eastAsia="Times New Roman" w:hAnsi="Times New Roman" w:cs="Times New Roman"/>
          <w:sz w:val="24"/>
          <w:szCs w:val="24"/>
          <w:lang w:val="en-US" w:eastAsia="es-ES"/>
        </w:rPr>
        <w:t>Copyfarleft</w:t>
      </w:r>
      <w:proofErr w:type="spellEnd"/>
      <w:r>
        <w:rPr>
          <w:rFonts w:ascii="Times New Roman" w:eastAsia="Times New Roman" w:hAnsi="Times New Roman" w:cs="Times New Roman"/>
          <w:sz w:val="24"/>
          <w:szCs w:val="24"/>
          <w:lang w:val="en-US" w:eastAsia="es-ES"/>
        </w:rPr>
        <w:t xml:space="preserve"> and </w:t>
      </w:r>
      <w:proofErr w:type="spellStart"/>
      <w:r>
        <w:rPr>
          <w:rFonts w:ascii="Times New Roman" w:eastAsia="Times New Roman" w:hAnsi="Times New Roman" w:cs="Times New Roman"/>
          <w:sz w:val="24"/>
          <w:szCs w:val="24"/>
          <w:lang w:val="en-US" w:eastAsia="es-ES"/>
        </w:rPr>
        <w:t>Copyjustright</w:t>
      </w:r>
      <w:proofErr w:type="spellEnd"/>
      <w:r>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eastAsia="es-ES"/>
        </w:rPr>
        <w:t>Disponible en &lt;http://www.metamute.org/editorial/articles/copyfarleft-and-copyjustright&gt;</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Kleiner</w:t>
      </w:r>
      <w:proofErr w:type="spellEnd"/>
      <w:r>
        <w:rPr>
          <w:rFonts w:ascii="Times New Roman" w:eastAsia="Times New Roman" w:hAnsi="Times New Roman" w:cs="Times New Roman"/>
          <w:sz w:val="24"/>
          <w:szCs w:val="24"/>
          <w:lang w:val="en-US" w:eastAsia="es-ES"/>
        </w:rPr>
        <w:t xml:space="preserve">, D. (2010). The </w:t>
      </w:r>
      <w:proofErr w:type="spellStart"/>
      <w:r>
        <w:rPr>
          <w:rFonts w:ascii="Times New Roman" w:eastAsia="Times New Roman" w:hAnsi="Times New Roman" w:cs="Times New Roman"/>
          <w:sz w:val="24"/>
          <w:szCs w:val="24"/>
          <w:lang w:val="en-US" w:eastAsia="es-ES"/>
        </w:rPr>
        <w:t>telekommunist</w:t>
      </w:r>
      <w:proofErr w:type="spellEnd"/>
      <w:r>
        <w:rPr>
          <w:rFonts w:ascii="Times New Roman" w:eastAsia="Times New Roman" w:hAnsi="Times New Roman" w:cs="Times New Roman"/>
          <w:sz w:val="24"/>
          <w:szCs w:val="24"/>
          <w:lang w:val="en-US" w:eastAsia="es-ES"/>
        </w:rPr>
        <w:t xml:space="preserve"> manifesto. Institute of Network Cultures</w:t>
      </w:r>
    </w:p>
    <w:p w:rsidR="00542547" w:rsidRDefault="00393AD3">
      <w:pPr>
        <w:spacing w:before="113" w:after="57" w:line="36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val="en-US" w:eastAsia="es-ES"/>
        </w:rPr>
        <w:t>Lemos</w:t>
      </w:r>
      <w:proofErr w:type="spellEnd"/>
      <w:r>
        <w:rPr>
          <w:rFonts w:ascii="Times New Roman" w:eastAsia="Times New Roman" w:hAnsi="Times New Roman" w:cs="Times New Roman"/>
          <w:sz w:val="24"/>
          <w:szCs w:val="24"/>
          <w:lang w:val="en-US" w:eastAsia="es-ES"/>
        </w:rPr>
        <w:t>, R., 2010. Legal Commons and So</w:t>
      </w:r>
      <w:r>
        <w:rPr>
          <w:rFonts w:ascii="Times New Roman" w:eastAsia="Times New Roman" w:hAnsi="Times New Roman" w:cs="Times New Roman"/>
          <w:sz w:val="24"/>
          <w:szCs w:val="24"/>
          <w:lang w:val="en-US" w:eastAsia="es-ES"/>
        </w:rPr>
        <w:t xml:space="preserve">cial Commons: Creativity and Innovation in the Global Peripheries. In D. </w:t>
      </w:r>
      <w:proofErr w:type="spellStart"/>
      <w:r>
        <w:rPr>
          <w:rFonts w:ascii="Times New Roman" w:eastAsia="Times New Roman" w:hAnsi="Times New Roman" w:cs="Times New Roman"/>
          <w:sz w:val="24"/>
          <w:szCs w:val="24"/>
          <w:lang w:val="en-US" w:eastAsia="es-ES"/>
        </w:rPr>
        <w:t>Bourcier</w:t>
      </w:r>
      <w:proofErr w:type="spellEnd"/>
      <w:r>
        <w:rPr>
          <w:rFonts w:ascii="Times New Roman" w:eastAsia="Times New Roman" w:hAnsi="Times New Roman" w:cs="Times New Roman"/>
          <w:sz w:val="24"/>
          <w:szCs w:val="24"/>
          <w:lang w:val="en-US" w:eastAsia="es-ES"/>
        </w:rPr>
        <w:t xml:space="preserve"> et al., eds. Intelligent Multimedia. Series in Legal Information and Communication Technologies. Florence: European Press Academic Publishing, p. 175. </w:t>
      </w:r>
      <w:r>
        <w:rPr>
          <w:rFonts w:ascii="Times New Roman" w:eastAsia="Times New Roman" w:hAnsi="Times New Roman" w:cs="Times New Roman"/>
          <w:sz w:val="24"/>
          <w:szCs w:val="24"/>
          <w:lang w:eastAsia="es-ES"/>
        </w:rPr>
        <w:t>Disponible en: http://w</w:t>
      </w:r>
      <w:r>
        <w:rPr>
          <w:rFonts w:ascii="Times New Roman" w:eastAsia="Times New Roman" w:hAnsi="Times New Roman" w:cs="Times New Roman"/>
          <w:sz w:val="24"/>
          <w:szCs w:val="24"/>
          <w:lang w:eastAsia="es-ES"/>
        </w:rPr>
        <w:t>ww.academia.edu/download/30324155/ccibook_printedversion_intelligentmultimedia1.pdf [Acceso el 21 de julio de 2013].</w:t>
      </w:r>
    </w:p>
    <w:p w:rsidR="00542547" w:rsidRDefault="00393AD3">
      <w:pPr>
        <w:spacing w:before="113" w:after="57" w:line="36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S. (2008). </w:t>
      </w:r>
      <w:proofErr w:type="spellStart"/>
      <w:r>
        <w:rPr>
          <w:rFonts w:ascii="Times New Roman" w:eastAsia="Times New Roman" w:hAnsi="Times New Roman" w:cs="Times New Roman"/>
          <w:sz w:val="24"/>
          <w:szCs w:val="24"/>
          <w:lang w:eastAsia="es-ES"/>
        </w:rPr>
        <w:t>Copyfarleft</w:t>
      </w:r>
      <w:proofErr w:type="spellEnd"/>
      <w:r>
        <w:rPr>
          <w:rFonts w:ascii="Times New Roman" w:eastAsia="Times New Roman" w:hAnsi="Times New Roman" w:cs="Times New Roman"/>
          <w:sz w:val="24"/>
          <w:szCs w:val="24"/>
          <w:lang w:eastAsia="es-ES"/>
        </w:rPr>
        <w:t xml:space="preserve"> &amp; a critique. Disponible en &lt;http://www.metamute.org/editorial/articles/copyfarleft-critique&gt;</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sz w:val="24"/>
          <w:szCs w:val="24"/>
          <w:lang w:val="en-US" w:eastAsia="es-ES"/>
        </w:rPr>
        <w:t>Netpop</w:t>
      </w:r>
      <w:proofErr w:type="spellEnd"/>
      <w:r>
        <w:rPr>
          <w:rFonts w:ascii="Times New Roman" w:eastAsia="Times New Roman" w:hAnsi="Times New Roman" w:cs="Times New Roman"/>
          <w:sz w:val="24"/>
          <w:szCs w:val="24"/>
          <w:lang w:val="en-US" w:eastAsia="es-ES"/>
        </w:rPr>
        <w:t xml:space="preserve"> Researc</w:t>
      </w:r>
      <w:r>
        <w:rPr>
          <w:rFonts w:ascii="Times New Roman" w:eastAsia="Times New Roman" w:hAnsi="Times New Roman" w:cs="Times New Roman"/>
          <w:sz w:val="24"/>
          <w:szCs w:val="24"/>
          <w:lang w:val="en-US" w:eastAsia="es-ES"/>
        </w:rPr>
        <w:t xml:space="preserve">h, 2009. Defining “Noncommercial”: A Study of How the Online Population Understands “Noncommercial Use.” </w:t>
      </w:r>
      <w:proofErr w:type="spellStart"/>
      <w:r>
        <w:rPr>
          <w:rFonts w:ascii="Times New Roman" w:eastAsia="Times New Roman" w:hAnsi="Times New Roman" w:cs="Times New Roman"/>
          <w:sz w:val="24"/>
          <w:szCs w:val="24"/>
          <w:lang w:val="en-US" w:eastAsia="es-ES"/>
        </w:rPr>
        <w:t>Disponible</w:t>
      </w:r>
      <w:proofErr w:type="spellEnd"/>
      <w:r>
        <w:rPr>
          <w:rFonts w:ascii="Times New Roman" w:eastAsia="Times New Roman" w:hAnsi="Times New Roman" w:cs="Times New Roman"/>
          <w:sz w:val="24"/>
          <w:szCs w:val="24"/>
          <w:lang w:val="en-US" w:eastAsia="es-ES"/>
        </w:rPr>
        <w:t xml:space="preserve"> </w:t>
      </w:r>
      <w:proofErr w:type="spellStart"/>
      <w:r>
        <w:rPr>
          <w:rFonts w:ascii="Times New Roman" w:eastAsia="Times New Roman" w:hAnsi="Times New Roman" w:cs="Times New Roman"/>
          <w:sz w:val="24"/>
          <w:szCs w:val="24"/>
          <w:lang w:val="en-US" w:eastAsia="es-ES"/>
        </w:rPr>
        <w:t>en</w:t>
      </w:r>
      <w:proofErr w:type="spellEnd"/>
      <w:r>
        <w:rPr>
          <w:rFonts w:ascii="Times New Roman" w:eastAsia="Times New Roman" w:hAnsi="Times New Roman" w:cs="Times New Roman"/>
          <w:sz w:val="24"/>
          <w:szCs w:val="24"/>
          <w:lang w:val="en-US" w:eastAsia="es-ES"/>
        </w:rPr>
        <w:t>: http://wiki.creativecommons.org/Defining_Noncommercial.</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US" w:eastAsia="es-ES"/>
        </w:rPr>
        <w:t xml:space="preserve">UNESCO OER Community &amp; </w:t>
      </w:r>
      <w:proofErr w:type="spellStart"/>
      <w:r>
        <w:rPr>
          <w:rFonts w:ascii="Times New Roman" w:eastAsia="Times New Roman" w:hAnsi="Times New Roman" w:cs="Times New Roman"/>
          <w:sz w:val="24"/>
          <w:szCs w:val="24"/>
          <w:lang w:val="en-US" w:eastAsia="es-ES"/>
        </w:rPr>
        <w:t>Downes</w:t>
      </w:r>
      <w:proofErr w:type="spellEnd"/>
      <w:r>
        <w:rPr>
          <w:rFonts w:ascii="Times New Roman" w:eastAsia="Times New Roman" w:hAnsi="Times New Roman" w:cs="Times New Roman"/>
          <w:sz w:val="24"/>
          <w:szCs w:val="24"/>
          <w:lang w:val="en-US" w:eastAsia="es-ES"/>
        </w:rPr>
        <w:t xml:space="preserve">, S., 2011. </w:t>
      </w:r>
      <w:r>
        <w:rPr>
          <w:rFonts w:ascii="Times New Roman" w:eastAsia="Times New Roman" w:hAnsi="Times New Roman" w:cs="Times New Roman"/>
          <w:sz w:val="24"/>
          <w:szCs w:val="24"/>
          <w:lang w:eastAsia="es-ES"/>
        </w:rPr>
        <w:t>El debate OER completo disponible en: h</w:t>
      </w:r>
      <w:r>
        <w:rPr>
          <w:rFonts w:ascii="Times New Roman" w:eastAsia="Times New Roman" w:hAnsi="Times New Roman" w:cs="Times New Roman"/>
          <w:sz w:val="24"/>
          <w:szCs w:val="24"/>
          <w:lang w:eastAsia="es-ES"/>
        </w:rPr>
        <w:t>ttp://openaccess.uoc.edu/webapps/o2/handle/10609/7301 [Acceso el 24 de julio de 2013].</w:t>
      </w:r>
    </w:p>
    <w:p w:rsidR="00542547" w:rsidRDefault="00393AD3">
      <w:pPr>
        <w:spacing w:before="113" w:after="57"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Stallman, R. (1998). </w:t>
      </w:r>
      <w:proofErr w:type="spellStart"/>
      <w:r>
        <w:rPr>
          <w:rFonts w:ascii="Times New Roman" w:eastAsia="Times New Roman" w:hAnsi="Times New Roman" w:cs="Times New Roman"/>
          <w:sz w:val="24"/>
          <w:szCs w:val="24"/>
          <w:lang w:val="en-US" w:eastAsia="es-ES"/>
        </w:rPr>
        <w:t>Copyleft</w:t>
      </w:r>
      <w:proofErr w:type="spellEnd"/>
      <w:r>
        <w:rPr>
          <w:rFonts w:ascii="Times New Roman" w:eastAsia="Times New Roman" w:hAnsi="Times New Roman" w:cs="Times New Roman"/>
          <w:sz w:val="24"/>
          <w:szCs w:val="24"/>
          <w:lang w:val="en-US" w:eastAsia="es-ES"/>
        </w:rPr>
        <w:t>: pragmatic idealism.</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n-US" w:eastAsia="es-ES"/>
        </w:rPr>
        <w:t>Toner, A. (2007). “</w:t>
      </w:r>
      <w:proofErr w:type="spellStart"/>
      <w:r>
        <w:rPr>
          <w:rFonts w:ascii="Times New Roman" w:eastAsia="Times New Roman" w:hAnsi="Times New Roman" w:cs="Times New Roman"/>
          <w:sz w:val="24"/>
          <w:szCs w:val="24"/>
          <w:lang w:val="en-US" w:eastAsia="es-ES"/>
        </w:rPr>
        <w:t>Copyfarleft</w:t>
      </w:r>
      <w:proofErr w:type="spellEnd"/>
      <w:r>
        <w:rPr>
          <w:rFonts w:ascii="Times New Roman" w:eastAsia="Times New Roman" w:hAnsi="Times New Roman" w:cs="Times New Roman"/>
          <w:sz w:val="24"/>
          <w:szCs w:val="24"/>
          <w:lang w:val="en-US" w:eastAsia="es-ES"/>
        </w:rPr>
        <w:t xml:space="preserve">: An Anarchist </w:t>
      </w:r>
      <w:proofErr w:type="spellStart"/>
      <w:r>
        <w:rPr>
          <w:rFonts w:ascii="Times New Roman" w:eastAsia="Times New Roman" w:hAnsi="Times New Roman" w:cs="Times New Roman"/>
          <w:sz w:val="24"/>
          <w:szCs w:val="24"/>
          <w:lang w:val="en-US" w:eastAsia="es-ES"/>
        </w:rPr>
        <w:t>Gema</w:t>
      </w:r>
      <w:proofErr w:type="spellEnd"/>
      <w:r>
        <w:rPr>
          <w:rFonts w:ascii="Times New Roman" w:eastAsia="Times New Roman" w:hAnsi="Times New Roman" w:cs="Times New Roman"/>
          <w:sz w:val="24"/>
          <w:szCs w:val="24"/>
          <w:lang w:val="en-US" w:eastAsia="es-ES"/>
        </w:rPr>
        <w:t>?</w:t>
      </w:r>
      <w:proofErr w:type="gramStart"/>
      <w:r>
        <w:rPr>
          <w:rFonts w:ascii="Times New Roman" w:eastAsia="Times New Roman" w:hAnsi="Times New Roman" w:cs="Times New Roman"/>
          <w:sz w:val="24"/>
          <w:szCs w:val="24"/>
          <w:lang w:val="en-US" w:eastAsia="es-ES"/>
        </w:rPr>
        <w:t>”.</w:t>
      </w:r>
      <w:proofErr w:type="gramEnd"/>
      <w:r>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eastAsia="es-ES"/>
        </w:rPr>
        <w:t>Disponible en &lt;</w:t>
      </w:r>
      <w:hyperlink r:id="rId5">
        <w:r>
          <w:rPr>
            <w:rStyle w:val="InternetLink"/>
            <w:rFonts w:ascii="Times New Roman" w:eastAsia="Times New Roman" w:hAnsi="Times New Roman" w:cs="Times New Roman"/>
            <w:sz w:val="24"/>
            <w:szCs w:val="24"/>
            <w:lang w:eastAsia="es-ES"/>
          </w:rPr>
          <w:t>http://knowfuture.wordpress.com/2007/11/22/copyfarleft-an-anarchist-gema/</w:t>
        </w:r>
      </w:hyperlink>
      <w:r>
        <w:rPr>
          <w:rFonts w:ascii="Times New Roman" w:eastAsia="Times New Roman" w:hAnsi="Times New Roman" w:cs="Times New Roman"/>
          <w:sz w:val="24"/>
          <w:szCs w:val="24"/>
          <w:lang w:eastAsia="es-ES"/>
        </w:rPr>
        <w:t>&gt;.</w:t>
      </w:r>
    </w:p>
    <w:p w:rsidR="00542547" w:rsidRDefault="00542547">
      <w:pPr>
        <w:pStyle w:val="Heading2"/>
        <w:spacing w:before="113" w:after="57" w:line="360" w:lineRule="auto"/>
        <w:jc w:val="both"/>
        <w:rPr>
          <w:rFonts w:ascii="Times New Roman" w:hAnsi="Times New Roman"/>
          <w:b/>
          <w:bCs/>
          <w:sz w:val="24"/>
          <w:szCs w:val="24"/>
        </w:rPr>
      </w:pPr>
    </w:p>
    <w:p w:rsidR="00542547" w:rsidRDefault="00393AD3">
      <w:pPr>
        <w:pStyle w:val="Heading2"/>
        <w:spacing w:before="113" w:after="57" w:line="360" w:lineRule="auto"/>
        <w:jc w:val="both"/>
        <w:rPr>
          <w:rFonts w:ascii="Times New Roman" w:hAnsi="Times New Roman"/>
          <w:b/>
          <w:bCs/>
          <w:sz w:val="24"/>
          <w:szCs w:val="24"/>
        </w:rPr>
      </w:pPr>
      <w:r>
        <w:rPr>
          <w:rFonts w:ascii="Times New Roman" w:hAnsi="Times New Roman"/>
          <w:b/>
          <w:bCs/>
          <w:sz w:val="24"/>
          <w:szCs w:val="24"/>
        </w:rPr>
        <w:t>Notas</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 En 2007,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describió el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pero no lo materializó en una licencia específica. Solo ocurrió en</w:t>
      </w:r>
      <w:r>
        <w:rPr>
          <w:rFonts w:ascii="Times New Roman" w:eastAsia="Times New Roman" w:hAnsi="Times New Roman" w:cs="Times New Roman"/>
          <w:sz w:val="24"/>
          <w:szCs w:val="24"/>
          <w:lang w:eastAsia="es-ES"/>
        </w:rPr>
        <w:t xml:space="preserve"> 2010 con la licencia Peer </w:t>
      </w:r>
      <w:proofErr w:type="spellStart"/>
      <w:r>
        <w:rPr>
          <w:rFonts w:ascii="Times New Roman" w:eastAsia="Times New Roman" w:hAnsi="Times New Roman" w:cs="Times New Roman"/>
          <w:sz w:val="24"/>
          <w:szCs w:val="24"/>
          <w:lang w:eastAsia="es-ES"/>
        </w:rPr>
        <w:t>Production</w:t>
      </w:r>
      <w:proofErr w:type="spellEnd"/>
      <w:r>
        <w:rPr>
          <w:rFonts w:ascii="Times New Roman" w:eastAsia="Times New Roman" w:hAnsi="Times New Roman" w:cs="Times New Roman"/>
          <w:sz w:val="24"/>
          <w:szCs w:val="24"/>
          <w:lang w:eastAsia="es-ES"/>
        </w:rPr>
        <w:t xml:space="preserve">: un derivado de la licencia </w:t>
      </w:r>
      <w:proofErr w:type="spellStart"/>
      <w:r>
        <w:rPr>
          <w:rFonts w:ascii="Times New Roman" w:eastAsia="Times New Roman" w:hAnsi="Times New Roman" w:cs="Times New Roman"/>
          <w:sz w:val="24"/>
          <w:szCs w:val="24"/>
          <w:lang w:eastAsia="es-ES"/>
        </w:rPr>
        <w:t>Creative</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Commons</w:t>
      </w:r>
      <w:proofErr w:type="spellEnd"/>
      <w:r>
        <w:rPr>
          <w:rFonts w:ascii="Times New Roman" w:eastAsia="Times New Roman" w:hAnsi="Times New Roman" w:cs="Times New Roman"/>
          <w:sz w:val="24"/>
          <w:szCs w:val="24"/>
          <w:lang w:eastAsia="es-ES"/>
        </w:rPr>
        <w:t xml:space="preserve"> BY-NC-SA que redefine levemente sus libertades como se explica en este párrafo.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2 La razón para esta distinción es que «el arte no es, en la mayoría de los casos, una entrad</w:t>
      </w:r>
      <w:r>
        <w:rPr>
          <w:rFonts w:ascii="Times New Roman" w:eastAsia="Times New Roman" w:hAnsi="Times New Roman" w:cs="Times New Roman"/>
          <w:sz w:val="24"/>
          <w:szCs w:val="24"/>
          <w:lang w:eastAsia="es-ES"/>
        </w:rPr>
        <w:t>a común a la producción como lo es el software»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2007); no tiene un valor intrínseco de uso para la producción (a diferencia del software), y su valor comercial existe principalmente en la posibilidad de venderlo. De modo que mientras que los usua</w:t>
      </w:r>
      <w:r>
        <w:rPr>
          <w:rFonts w:ascii="Times New Roman" w:eastAsia="Times New Roman" w:hAnsi="Times New Roman" w:cs="Times New Roman"/>
          <w:sz w:val="24"/>
          <w:szCs w:val="24"/>
          <w:lang w:eastAsia="es-ES"/>
        </w:rPr>
        <w:t>rios corporativos de software de licencia libre generalmente apoyarán su producción (puesto que dicho software es útil para sus negocios), este no es generalmente el caso del arte.</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 Si los trabajadores que contribuyen a proyectos del procomún dependen del</w:t>
      </w:r>
      <w:r>
        <w:rPr>
          <w:rFonts w:ascii="Times New Roman" w:eastAsia="Times New Roman" w:hAnsi="Times New Roman" w:cs="Times New Roman"/>
          <w:sz w:val="24"/>
          <w:szCs w:val="24"/>
          <w:lang w:eastAsia="es-ES"/>
        </w:rPr>
        <w:t xml:space="preserve"> trabajo asalariado pagado por una corporación, esta corporación dispone de un poder palpable sobre el modo en que se desarrollan dichos proyectos. Si estos trabajadores están </w:t>
      </w:r>
      <w:proofErr w:type="spellStart"/>
      <w:r>
        <w:rPr>
          <w:rFonts w:ascii="Times New Roman" w:eastAsia="Times New Roman" w:hAnsi="Times New Roman" w:cs="Times New Roman"/>
          <w:sz w:val="24"/>
          <w:szCs w:val="24"/>
          <w:lang w:eastAsia="es-ES"/>
        </w:rPr>
        <w:t>autoorganizados</w:t>
      </w:r>
      <w:proofErr w:type="spellEnd"/>
      <w:r>
        <w:rPr>
          <w:rFonts w:ascii="Times New Roman" w:eastAsia="Times New Roman" w:hAnsi="Times New Roman" w:cs="Times New Roman"/>
          <w:sz w:val="24"/>
          <w:szCs w:val="24"/>
          <w:lang w:eastAsia="es-ES"/>
        </w:rPr>
        <w:t>, el poder discrecional de estas entidades corporativas necesaria</w:t>
      </w:r>
      <w:r>
        <w:rPr>
          <w:rFonts w:ascii="Times New Roman" w:eastAsia="Times New Roman" w:hAnsi="Times New Roman" w:cs="Times New Roman"/>
          <w:sz w:val="24"/>
          <w:szCs w:val="24"/>
          <w:lang w:eastAsia="es-ES"/>
        </w:rPr>
        <w:t>mente disminuirá.</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4 El Peer Trust Network Project es un proyecto de Stan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dirigido hacia la creación un marco teórico para la construcción y conservación de «Bienes comunes establecidos» y «Economías contributivas»</w:t>
      </w:r>
      <w:r>
        <w:rPr>
          <w:rFonts w:ascii="Times New Roman" w:eastAsia="Times New Roman" w:hAnsi="Times New Roman" w:cs="Times New Roman"/>
          <w:sz w:val="24"/>
          <w:szCs w:val="24"/>
          <w:lang w:eastAsia="es-ES"/>
        </w:rPr>
        <w:t xml:space="preserve"> (“</w:t>
      </w:r>
      <w:hyperlink r:id="rId6">
        <w:r>
          <w:rPr>
            <w:rStyle w:val="InternetLink"/>
            <w:rFonts w:ascii="Times New Roman" w:eastAsia="Times New Roman" w:hAnsi="Times New Roman" w:cs="Times New Roman"/>
            <w:color w:val="00000A"/>
            <w:sz w:val="24"/>
            <w:szCs w:val="24"/>
            <w:lang w:eastAsia="es-ES"/>
          </w:rPr>
          <w:t>Utilicontributist</w:t>
        </w:r>
      </w:hyperlink>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economies</w:t>
      </w:r>
      <w:proofErr w:type="spellEnd"/>
      <w:r>
        <w:rPr>
          <w:rFonts w:ascii="Times New Roman" w:eastAsia="Times New Roman" w:hAnsi="Times New Roman" w:cs="Times New Roman"/>
          <w:sz w:val="24"/>
          <w:szCs w:val="24"/>
          <w:lang w:eastAsia="es-ES"/>
        </w:rPr>
        <w:t>”, en el original) beneficiosas y equitativas. Para más detalles, ver http://p2pfoundation.net/Peer_Trust_Network_Project</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5 Más información acerca de la crítica de Stan </w:t>
      </w:r>
      <w:proofErr w:type="spellStart"/>
      <w:r>
        <w:rPr>
          <w:rFonts w:ascii="Times New Roman" w:eastAsia="Times New Roman" w:hAnsi="Times New Roman" w:cs="Times New Roman"/>
          <w:sz w:val="24"/>
          <w:szCs w:val="24"/>
          <w:lang w:eastAsia="es-ES"/>
        </w:rPr>
        <w:t>Rhodes</w:t>
      </w:r>
      <w:proofErr w:type="spellEnd"/>
      <w:r>
        <w:rPr>
          <w:rFonts w:ascii="Times New Roman" w:eastAsia="Times New Roman" w:hAnsi="Times New Roman" w:cs="Times New Roman"/>
          <w:sz w:val="24"/>
          <w:szCs w:val="24"/>
          <w:lang w:eastAsia="es-ES"/>
        </w:rPr>
        <w:t xml:space="preserve"> al modelo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y su argumento de que podría llevar eventualmente a procomunes restringidos en http://p2pfoundation.net/Copyfarleft</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6 Tal como en el modelo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crea una estructura inclusiva basada en una perspectiva partic</w:t>
      </w:r>
      <w:r>
        <w:rPr>
          <w:rFonts w:ascii="Times New Roman" w:eastAsia="Times New Roman" w:hAnsi="Times New Roman" w:cs="Times New Roman"/>
          <w:sz w:val="24"/>
          <w:szCs w:val="24"/>
          <w:lang w:eastAsia="es-ES"/>
        </w:rPr>
        <w:t xml:space="preserve">ular sobre la gestión del patrimonio común que todo el mundo debe acatar para ser autorizado a recoger sus beneficios. Además, mientras que los requisitos del </w:t>
      </w:r>
      <w:proofErr w:type="spellStart"/>
      <w:r>
        <w:rPr>
          <w:rFonts w:ascii="Times New Roman" w:eastAsia="Times New Roman" w:hAnsi="Times New Roman" w:cs="Times New Roman"/>
          <w:i/>
          <w:sz w:val="24"/>
          <w:szCs w:val="24"/>
          <w:lang w:eastAsia="es-ES"/>
        </w:rPr>
        <w:t>copyleft</w:t>
      </w:r>
      <w:proofErr w:type="spellEnd"/>
      <w:r>
        <w:rPr>
          <w:rFonts w:ascii="Times New Roman" w:eastAsia="Times New Roman" w:hAnsi="Times New Roman" w:cs="Times New Roman"/>
          <w:sz w:val="24"/>
          <w:szCs w:val="24"/>
          <w:lang w:eastAsia="es-ES"/>
        </w:rPr>
        <w:t xml:space="preserve"> para optar son mínimos, los requisitos del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son mucho más fuertes, tanto es a</w:t>
      </w:r>
      <w:r>
        <w:rPr>
          <w:rFonts w:ascii="Times New Roman" w:eastAsia="Times New Roman" w:hAnsi="Times New Roman" w:cs="Times New Roman"/>
          <w:sz w:val="24"/>
          <w:szCs w:val="24"/>
          <w:lang w:eastAsia="es-ES"/>
        </w:rPr>
        <w:t>sí que incluirían un cambio en la estructura de producción al completo.</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7 P2P </w:t>
      </w:r>
      <w:proofErr w:type="spellStart"/>
      <w:r>
        <w:rPr>
          <w:rFonts w:ascii="Times New Roman" w:eastAsia="Times New Roman" w:hAnsi="Times New Roman" w:cs="Times New Roman"/>
          <w:sz w:val="24"/>
          <w:szCs w:val="24"/>
          <w:lang w:eastAsia="es-ES"/>
        </w:rPr>
        <w:t>Foundation</w:t>
      </w:r>
      <w:proofErr w:type="spellEnd"/>
      <w:r>
        <w:rPr>
          <w:rFonts w:ascii="Times New Roman" w:eastAsia="Times New Roman" w:hAnsi="Times New Roman" w:cs="Times New Roman"/>
          <w:sz w:val="24"/>
          <w:szCs w:val="24"/>
          <w:lang w:eastAsia="es-ES"/>
        </w:rPr>
        <w:t xml:space="preserve">: La </w:t>
      </w:r>
      <w:proofErr w:type="spellStart"/>
      <w:r>
        <w:rPr>
          <w:rFonts w:ascii="Times New Roman" w:eastAsia="Times New Roman" w:hAnsi="Times New Roman" w:cs="Times New Roman"/>
          <w:sz w:val="24"/>
          <w:szCs w:val="24"/>
          <w:lang w:eastAsia="es-ES"/>
        </w:rPr>
        <w:t>Foundation</w:t>
      </w:r>
      <w:proofErr w:type="spellEnd"/>
      <w:r>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for</w:t>
      </w:r>
      <w:proofErr w:type="spellEnd"/>
      <w:r>
        <w:rPr>
          <w:rFonts w:ascii="Times New Roman" w:eastAsia="Times New Roman" w:hAnsi="Times New Roman" w:cs="Times New Roman"/>
          <w:sz w:val="24"/>
          <w:szCs w:val="24"/>
          <w:lang w:eastAsia="es-ES"/>
        </w:rPr>
        <w:t xml:space="preserve"> Peer to Peer </w:t>
      </w:r>
      <w:proofErr w:type="spellStart"/>
      <w:r>
        <w:rPr>
          <w:rFonts w:ascii="Times New Roman" w:eastAsia="Times New Roman" w:hAnsi="Times New Roman" w:cs="Times New Roman"/>
          <w:sz w:val="24"/>
          <w:szCs w:val="24"/>
          <w:lang w:eastAsia="es-ES"/>
        </w:rPr>
        <w:t>Alternatives</w:t>
      </w:r>
      <w:proofErr w:type="spellEnd"/>
      <w:r>
        <w:rPr>
          <w:rFonts w:ascii="Times New Roman" w:eastAsia="Times New Roman" w:hAnsi="Times New Roman" w:cs="Times New Roman"/>
          <w:sz w:val="24"/>
          <w:szCs w:val="24"/>
          <w:lang w:eastAsia="es-ES"/>
        </w:rPr>
        <w:t xml:space="preserve"> es una organización con el objetivo de estudiar el impacto que la tecnología y el pensamiento entre iguales tiene en la so</w:t>
      </w:r>
      <w:r>
        <w:rPr>
          <w:rFonts w:ascii="Times New Roman" w:eastAsia="Times New Roman" w:hAnsi="Times New Roman" w:cs="Times New Roman"/>
          <w:sz w:val="24"/>
          <w:szCs w:val="24"/>
          <w:lang w:eastAsia="es-ES"/>
        </w:rPr>
        <w:t>ciedad. Para más información, consultar http://p2pfoundation.net</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8 El proyecto </w:t>
      </w:r>
      <w:proofErr w:type="spellStart"/>
      <w:r>
        <w:rPr>
          <w:rFonts w:ascii="Times New Roman" w:eastAsia="Times New Roman" w:hAnsi="Times New Roman" w:cs="Times New Roman"/>
          <w:sz w:val="24"/>
          <w:szCs w:val="24"/>
          <w:lang w:eastAsia="es-ES"/>
        </w:rPr>
        <w:t>Oekonux</w:t>
      </w:r>
      <w:proofErr w:type="spellEnd"/>
      <w:r>
        <w:rPr>
          <w:rFonts w:ascii="Times New Roman" w:eastAsia="Times New Roman" w:hAnsi="Times New Roman" w:cs="Times New Roman"/>
          <w:sz w:val="24"/>
          <w:szCs w:val="24"/>
          <w:lang w:eastAsia="es-ES"/>
        </w:rPr>
        <w:t xml:space="preserve"> se fundó para investigar las posibilidades del software libre para cambiar en esencia las actuales estructuras políticas y económicas. </w:t>
      </w:r>
      <w:proofErr w:type="spellStart"/>
      <w:r>
        <w:rPr>
          <w:rFonts w:ascii="Times New Roman" w:eastAsia="Times New Roman" w:hAnsi="Times New Roman" w:cs="Times New Roman"/>
          <w:sz w:val="24"/>
          <w:szCs w:val="24"/>
          <w:lang w:eastAsia="es-ES"/>
        </w:rPr>
        <w:t>Oekonux</w:t>
      </w:r>
      <w:proofErr w:type="spellEnd"/>
      <w:r>
        <w:rPr>
          <w:rFonts w:ascii="Times New Roman" w:eastAsia="Times New Roman" w:hAnsi="Times New Roman" w:cs="Times New Roman"/>
          <w:sz w:val="24"/>
          <w:szCs w:val="24"/>
          <w:lang w:eastAsia="es-ES"/>
        </w:rPr>
        <w:t xml:space="preserve"> considera que la forma de </w:t>
      </w:r>
      <w:r>
        <w:rPr>
          <w:rFonts w:ascii="Times New Roman" w:eastAsia="Times New Roman" w:hAnsi="Times New Roman" w:cs="Times New Roman"/>
          <w:sz w:val="24"/>
          <w:szCs w:val="24"/>
          <w:lang w:eastAsia="es-ES"/>
        </w:rPr>
        <w:t xml:space="preserve">producción del software libre representa un nuevo modelo con el </w:t>
      </w:r>
      <w:r>
        <w:rPr>
          <w:rFonts w:ascii="Times New Roman" w:eastAsia="Times New Roman" w:hAnsi="Times New Roman" w:cs="Times New Roman"/>
          <w:sz w:val="24"/>
          <w:szCs w:val="24"/>
          <w:lang w:eastAsia="es-ES"/>
        </w:rPr>
        <w:lastRenderedPageBreak/>
        <w:t>potencial de sustituir el modo de producción capitalista. Para más información, consultar http://oekonux.org</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9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señala que el uso de la palabra «renta» en el argumento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es conc</w:t>
      </w:r>
      <w:r>
        <w:rPr>
          <w:rFonts w:ascii="Times New Roman" w:eastAsia="Times New Roman" w:hAnsi="Times New Roman" w:cs="Times New Roman"/>
          <w:sz w:val="24"/>
          <w:szCs w:val="24"/>
          <w:lang w:eastAsia="es-ES"/>
        </w:rPr>
        <w:t>eptualmente incorrecto, y que a lo que realmente se refiere es a plusvalía.</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10 El debate entre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xml:space="preserve"> y </w:t>
      </w:r>
      <w:proofErr w:type="spellStart"/>
      <w:r>
        <w:rPr>
          <w:rFonts w:ascii="Times New Roman" w:eastAsia="Times New Roman" w:hAnsi="Times New Roman" w:cs="Times New Roman"/>
          <w:sz w:val="24"/>
          <w:szCs w:val="24"/>
          <w:lang w:eastAsia="es-ES"/>
        </w:rPr>
        <w:t>Meretz</w:t>
      </w:r>
      <w:proofErr w:type="spellEnd"/>
      <w:r>
        <w:rPr>
          <w:rFonts w:ascii="Times New Roman" w:eastAsia="Times New Roman" w:hAnsi="Times New Roman" w:cs="Times New Roman"/>
          <w:sz w:val="24"/>
          <w:szCs w:val="24"/>
          <w:lang w:eastAsia="es-ES"/>
        </w:rPr>
        <w:t xml:space="preserve"> continuó en el hilo de una lista de correo. La respuesta de </w:t>
      </w:r>
      <w:proofErr w:type="spellStart"/>
      <w:r>
        <w:rPr>
          <w:rFonts w:ascii="Times New Roman" w:eastAsia="Times New Roman" w:hAnsi="Times New Roman" w:cs="Times New Roman"/>
          <w:sz w:val="24"/>
          <w:szCs w:val="24"/>
          <w:lang w:eastAsia="es-ES"/>
        </w:rPr>
        <w:t>Kleiner</w:t>
      </w:r>
      <w:proofErr w:type="spellEnd"/>
      <w:r>
        <w:rPr>
          <w:rFonts w:ascii="Times New Roman" w:eastAsia="Times New Roman" w:hAnsi="Times New Roman" w:cs="Times New Roman"/>
          <w:sz w:val="24"/>
          <w:szCs w:val="24"/>
          <w:lang w:eastAsia="es-ES"/>
        </w:rPr>
        <w:t>, que es el primer mensaje del hilo, está disponible en http://www.oekonux.or</w:t>
      </w:r>
      <w:r>
        <w:rPr>
          <w:rFonts w:ascii="Times New Roman" w:eastAsia="Times New Roman" w:hAnsi="Times New Roman" w:cs="Times New Roman"/>
          <w:sz w:val="24"/>
          <w:szCs w:val="24"/>
          <w:lang w:eastAsia="es-ES"/>
        </w:rPr>
        <w:t>g/list-en/archive/msg04129.html</w:t>
      </w:r>
    </w:p>
    <w:p w:rsidR="00542547" w:rsidRDefault="00393AD3">
      <w:pPr>
        <w:spacing w:before="113" w:after="57"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11 Aunque, como se ha mencionado anteriormente, ambas cláusulas –la basada en la reciprocidad sugerida aquí y la de </w:t>
      </w:r>
      <w:proofErr w:type="spellStart"/>
      <w:r>
        <w:rPr>
          <w:rFonts w:ascii="Times New Roman" w:eastAsia="Times New Roman" w:hAnsi="Times New Roman" w:cs="Times New Roman"/>
          <w:i/>
          <w:sz w:val="24"/>
          <w:szCs w:val="24"/>
          <w:lang w:eastAsia="es-ES"/>
        </w:rPr>
        <w:t>copyfarleft</w:t>
      </w:r>
      <w:proofErr w:type="spellEnd"/>
      <w:r>
        <w:rPr>
          <w:rFonts w:ascii="Times New Roman" w:eastAsia="Times New Roman" w:hAnsi="Times New Roman" w:cs="Times New Roman"/>
          <w:sz w:val="24"/>
          <w:szCs w:val="24"/>
          <w:lang w:eastAsia="es-ES"/>
        </w:rPr>
        <w:t xml:space="preserve"> que excluye a las empresas basadas en el trabajo asalariado– podrían combinarse, en este caso so</w:t>
      </w:r>
      <w:r>
        <w:rPr>
          <w:rFonts w:ascii="Times New Roman" w:eastAsia="Times New Roman" w:hAnsi="Times New Roman" w:cs="Times New Roman"/>
          <w:sz w:val="24"/>
          <w:szCs w:val="24"/>
          <w:lang w:eastAsia="es-ES"/>
        </w:rPr>
        <w:t>lo las empresas de trabajo asalariado necesitarían tener monedas para llevar a cabo usos comerciales.</w:t>
      </w:r>
    </w:p>
    <w:p w:rsidR="00542547" w:rsidRDefault="00542547">
      <w:pPr>
        <w:spacing w:before="113" w:after="57" w:line="360" w:lineRule="auto"/>
        <w:jc w:val="both"/>
        <w:rPr>
          <w:rFonts w:ascii="Times New Roman" w:hAnsi="Times New Roman"/>
          <w:sz w:val="24"/>
          <w:szCs w:val="24"/>
        </w:rPr>
      </w:pPr>
      <w:bookmarkStart w:id="0" w:name="_GoBack"/>
      <w:bookmarkEnd w:id="0"/>
    </w:p>
    <w:sectPr w:rsidR="00542547">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47"/>
    <w:rsid w:val="00393AD3"/>
    <w:rsid w:val="00542547"/>
    <w:rsid w:val="00C777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FA392-7B67-4050-920F-9CF87B60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s-E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rPr>
  </w:style>
  <w:style w:type="paragraph" w:styleId="Heading1">
    <w:name w:val="heading 1"/>
    <w:basedOn w:val="Normal"/>
    <w:next w:val="Normal"/>
    <w:link w:val="Heading1Char"/>
    <w:uiPriority w:val="9"/>
    <w:qFormat/>
    <w:rsid w:val="00833533"/>
    <w:pPr>
      <w:keepNext/>
      <w:keepLines/>
      <w:spacing w:before="240" w:after="0"/>
      <w:outlineLvl w:val="0"/>
    </w:pPr>
    <w:rPr>
      <w:rFonts w:ascii="Calibri Light" w:hAnsi="Calibri Light"/>
      <w:color w:val="2E74B5"/>
      <w:sz w:val="32"/>
      <w:szCs w:val="32"/>
    </w:rPr>
  </w:style>
  <w:style w:type="paragraph" w:styleId="Heading2">
    <w:name w:val="heading 2"/>
    <w:basedOn w:val="Normal"/>
    <w:link w:val="Heading2Char"/>
    <w:uiPriority w:val="9"/>
    <w:qFormat/>
    <w:rsid w:val="00096ECF"/>
    <w:pPr>
      <w:outlineLvl w:val="1"/>
    </w:pPr>
  </w:style>
  <w:style w:type="paragraph" w:styleId="Heading3">
    <w:name w:val="heading 3"/>
    <w:basedOn w:val="Normal"/>
    <w:next w:val="Normal"/>
    <w:link w:val="Heading3Char"/>
    <w:uiPriority w:val="9"/>
    <w:unhideWhenUsed/>
    <w:qFormat/>
    <w:rsid w:val="00833533"/>
    <w:pPr>
      <w:keepNext/>
      <w:keepLines/>
      <w:spacing w:before="40" w:after="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ECF"/>
    <w:rPr>
      <w:rFonts w:ascii="Times New Roman" w:eastAsia="Times New Roman" w:hAnsi="Times New Roman" w:cs="Times New Roman"/>
      <w:b/>
      <w:bCs/>
      <w:sz w:val="36"/>
      <w:szCs w:val="36"/>
      <w:lang w:eastAsia="es-ES"/>
    </w:rPr>
  </w:style>
  <w:style w:type="character" w:styleId="Strong">
    <w:name w:val="Strong"/>
    <w:basedOn w:val="DefaultParagraphFont"/>
    <w:uiPriority w:val="22"/>
    <w:qFormat/>
    <w:rsid w:val="00096ECF"/>
    <w:rPr>
      <w:b/>
      <w:bCs/>
    </w:rPr>
  </w:style>
  <w:style w:type="character" w:customStyle="1" w:styleId="internet20link">
    <w:name w:val="internet_20_link"/>
    <w:basedOn w:val="DefaultParagraphFont"/>
    <w:rsid w:val="00096ECF"/>
  </w:style>
  <w:style w:type="character" w:customStyle="1" w:styleId="InternetLink">
    <w:name w:val="Internet Link"/>
    <w:basedOn w:val="DefaultParagraphFont"/>
    <w:uiPriority w:val="99"/>
    <w:semiHidden/>
    <w:unhideWhenUsed/>
    <w:rsid w:val="00096ECF"/>
    <w:rPr>
      <w:color w:val="0000FF"/>
      <w:u w:val="single"/>
    </w:rPr>
  </w:style>
  <w:style w:type="character" w:styleId="Emphasis">
    <w:name w:val="Emphasis"/>
    <w:basedOn w:val="DefaultParagraphFont"/>
    <w:uiPriority w:val="20"/>
    <w:qFormat/>
    <w:rsid w:val="00096ECF"/>
    <w:rPr>
      <w:i/>
      <w:iCs/>
    </w:rPr>
  </w:style>
  <w:style w:type="character" w:customStyle="1" w:styleId="t14">
    <w:name w:val="t14"/>
    <w:basedOn w:val="DefaultParagraphFont"/>
    <w:rsid w:val="00096ECF"/>
  </w:style>
  <w:style w:type="character" w:customStyle="1" w:styleId="t8">
    <w:name w:val="t8"/>
    <w:basedOn w:val="DefaultParagraphFont"/>
    <w:rsid w:val="00096ECF"/>
  </w:style>
  <w:style w:type="character" w:customStyle="1" w:styleId="t13">
    <w:name w:val="t13"/>
    <w:basedOn w:val="DefaultParagraphFont"/>
    <w:rsid w:val="00096ECF"/>
  </w:style>
  <w:style w:type="character" w:customStyle="1" w:styleId="t19">
    <w:name w:val="t19"/>
    <w:basedOn w:val="DefaultParagraphFont"/>
    <w:rsid w:val="00096ECF"/>
  </w:style>
  <w:style w:type="character" w:customStyle="1" w:styleId="t18">
    <w:name w:val="t18"/>
    <w:basedOn w:val="DefaultParagraphFont"/>
    <w:rsid w:val="00096ECF"/>
  </w:style>
  <w:style w:type="character" w:customStyle="1" w:styleId="t11">
    <w:name w:val="t11"/>
    <w:basedOn w:val="DefaultParagraphFont"/>
    <w:rsid w:val="00096ECF"/>
  </w:style>
  <w:style w:type="character" w:customStyle="1" w:styleId="t10">
    <w:name w:val="t10"/>
    <w:basedOn w:val="DefaultParagraphFont"/>
    <w:rsid w:val="00096ECF"/>
  </w:style>
  <w:style w:type="character" w:customStyle="1" w:styleId="t12">
    <w:name w:val="t12"/>
    <w:basedOn w:val="DefaultParagraphFont"/>
    <w:rsid w:val="00096ECF"/>
  </w:style>
  <w:style w:type="character" w:customStyle="1" w:styleId="t6">
    <w:name w:val="t6"/>
    <w:basedOn w:val="DefaultParagraphFont"/>
    <w:rsid w:val="00096ECF"/>
  </w:style>
  <w:style w:type="character" w:customStyle="1" w:styleId="footnodenumber">
    <w:name w:val="footnodenumber"/>
    <w:basedOn w:val="DefaultParagraphFont"/>
    <w:rsid w:val="00096ECF"/>
  </w:style>
  <w:style w:type="character" w:customStyle="1" w:styleId="t4">
    <w:name w:val="t4"/>
    <w:basedOn w:val="DefaultParagraphFont"/>
    <w:rsid w:val="00096ECF"/>
  </w:style>
  <w:style w:type="character" w:customStyle="1" w:styleId="t9">
    <w:name w:val="t9"/>
    <w:basedOn w:val="DefaultParagraphFont"/>
    <w:rsid w:val="00096ECF"/>
  </w:style>
  <w:style w:type="character" w:customStyle="1" w:styleId="t5">
    <w:name w:val="t5"/>
    <w:basedOn w:val="DefaultParagraphFont"/>
    <w:rsid w:val="00096ECF"/>
  </w:style>
  <w:style w:type="character" w:customStyle="1" w:styleId="Title1">
    <w:name w:val="Title1"/>
    <w:basedOn w:val="DefaultParagraphFont"/>
    <w:rsid w:val="00096ECF"/>
  </w:style>
  <w:style w:type="character" w:styleId="CommentReference">
    <w:name w:val="annotation reference"/>
    <w:basedOn w:val="DefaultParagraphFont"/>
    <w:uiPriority w:val="99"/>
    <w:semiHidden/>
    <w:unhideWhenUsed/>
    <w:rsid w:val="00982588"/>
    <w:rPr>
      <w:sz w:val="16"/>
      <w:szCs w:val="16"/>
    </w:rPr>
  </w:style>
  <w:style w:type="character" w:customStyle="1" w:styleId="CommentTextChar">
    <w:name w:val="Comment Text Char"/>
    <w:basedOn w:val="DefaultParagraphFont"/>
    <w:link w:val="CommentText"/>
    <w:uiPriority w:val="99"/>
    <w:semiHidden/>
    <w:rsid w:val="00982588"/>
    <w:rPr>
      <w:sz w:val="20"/>
      <w:szCs w:val="20"/>
    </w:rPr>
  </w:style>
  <w:style w:type="character" w:customStyle="1" w:styleId="CommentSubjectChar">
    <w:name w:val="Comment Subject Char"/>
    <w:basedOn w:val="CommentTextChar"/>
    <w:link w:val="CommentSubject"/>
    <w:uiPriority w:val="99"/>
    <w:semiHidden/>
    <w:rsid w:val="00982588"/>
    <w:rPr>
      <w:b/>
      <w:bCs/>
      <w:sz w:val="20"/>
      <w:szCs w:val="20"/>
    </w:rPr>
  </w:style>
  <w:style w:type="character" w:customStyle="1" w:styleId="BalloonTextChar">
    <w:name w:val="Balloon Text Char"/>
    <w:basedOn w:val="DefaultParagraphFont"/>
    <w:link w:val="BalloonText"/>
    <w:uiPriority w:val="99"/>
    <w:semiHidden/>
    <w:rsid w:val="00982588"/>
    <w:rPr>
      <w:rFonts w:ascii="Segoe UI" w:hAnsi="Segoe UI" w:cs="Segoe UI"/>
      <w:sz w:val="18"/>
      <w:szCs w:val="18"/>
    </w:rPr>
  </w:style>
  <w:style w:type="character" w:customStyle="1" w:styleId="Heading1Char">
    <w:name w:val="Heading 1 Char"/>
    <w:basedOn w:val="DefaultParagraphFont"/>
    <w:link w:val="Heading1"/>
    <w:uiPriority w:val="9"/>
    <w:rsid w:val="00833533"/>
    <w:rPr>
      <w:rFonts w:ascii="Calibri Light" w:hAnsi="Calibri Light"/>
      <w:color w:val="2E74B5"/>
      <w:sz w:val="32"/>
      <w:szCs w:val="32"/>
    </w:rPr>
  </w:style>
  <w:style w:type="character" w:customStyle="1" w:styleId="Heading3Char">
    <w:name w:val="Heading 3 Char"/>
    <w:basedOn w:val="DefaultParagraphFont"/>
    <w:link w:val="Heading3"/>
    <w:uiPriority w:val="9"/>
    <w:rsid w:val="00833533"/>
    <w:rPr>
      <w:rFonts w:ascii="Calibri Light" w:hAnsi="Calibri Light"/>
      <w:color w:val="1F4D78"/>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096ECF"/>
    <w:pPr>
      <w:spacing w:after="280"/>
    </w:pPr>
    <w:rPr>
      <w:rFonts w:ascii="Times New Roman" w:eastAsia="Times New Roman" w:hAnsi="Times New Roman" w:cs="Times New Roman"/>
      <w:sz w:val="24"/>
      <w:szCs w:val="24"/>
      <w:lang w:eastAsia="es-ES"/>
    </w:rPr>
  </w:style>
  <w:style w:type="paragraph" w:customStyle="1" w:styleId="p11">
    <w:name w:val="p11"/>
    <w:basedOn w:val="Normal"/>
    <w:rsid w:val="00096ECF"/>
    <w:pPr>
      <w:spacing w:after="280"/>
    </w:pPr>
    <w:rPr>
      <w:rFonts w:ascii="Times New Roman" w:eastAsia="Times New Roman" w:hAnsi="Times New Roman" w:cs="Times New Roman"/>
      <w:sz w:val="24"/>
      <w:szCs w:val="24"/>
      <w:lang w:eastAsia="es-ES"/>
    </w:rPr>
  </w:style>
  <w:style w:type="paragraph" w:customStyle="1" w:styleId="p5">
    <w:name w:val="p5"/>
    <w:basedOn w:val="Normal"/>
    <w:rsid w:val="00096ECF"/>
    <w:pPr>
      <w:spacing w:after="280"/>
    </w:pPr>
    <w:rPr>
      <w:rFonts w:ascii="Times New Roman" w:eastAsia="Times New Roman" w:hAnsi="Times New Roman" w:cs="Times New Roman"/>
      <w:sz w:val="24"/>
      <w:szCs w:val="24"/>
      <w:lang w:eastAsia="es-ES"/>
    </w:rPr>
  </w:style>
  <w:style w:type="paragraph" w:customStyle="1" w:styleId="p9">
    <w:name w:val="p9"/>
    <w:basedOn w:val="Normal"/>
    <w:rsid w:val="00096ECF"/>
    <w:pPr>
      <w:spacing w:after="280"/>
    </w:pPr>
    <w:rPr>
      <w:rFonts w:ascii="Times New Roman" w:eastAsia="Times New Roman" w:hAnsi="Times New Roman" w:cs="Times New Roman"/>
      <w:sz w:val="24"/>
      <w:szCs w:val="24"/>
      <w:lang w:eastAsia="es-ES"/>
    </w:rPr>
  </w:style>
  <w:style w:type="paragraph" w:customStyle="1" w:styleId="p10">
    <w:name w:val="p10"/>
    <w:basedOn w:val="Normal"/>
    <w:rsid w:val="00096ECF"/>
    <w:pPr>
      <w:spacing w:after="280"/>
    </w:pPr>
    <w:rPr>
      <w:rFonts w:ascii="Times New Roman" w:eastAsia="Times New Roman" w:hAnsi="Times New Roman" w:cs="Times New Roman"/>
      <w:sz w:val="24"/>
      <w:szCs w:val="24"/>
      <w:lang w:eastAsia="es-ES"/>
    </w:rPr>
  </w:style>
  <w:style w:type="paragraph" w:customStyle="1" w:styleId="p7">
    <w:name w:val="p7"/>
    <w:basedOn w:val="Normal"/>
    <w:rsid w:val="00096ECF"/>
    <w:pPr>
      <w:spacing w:after="280"/>
    </w:pPr>
    <w:rPr>
      <w:rFonts w:ascii="Times New Roman" w:eastAsia="Times New Roman" w:hAnsi="Times New Roman" w:cs="Times New Roman"/>
      <w:sz w:val="24"/>
      <w:szCs w:val="24"/>
      <w:lang w:eastAsia="es-ES"/>
    </w:rPr>
  </w:style>
  <w:style w:type="paragraph" w:customStyle="1" w:styleId="p4">
    <w:name w:val="p4"/>
    <w:basedOn w:val="Normal"/>
    <w:rsid w:val="00096ECF"/>
    <w:pPr>
      <w:spacing w:after="280"/>
    </w:pPr>
    <w:rPr>
      <w:rFonts w:ascii="Times New Roman" w:eastAsia="Times New Roman" w:hAnsi="Times New Roman" w:cs="Times New Roman"/>
      <w:sz w:val="24"/>
      <w:szCs w:val="24"/>
      <w:lang w:eastAsia="es-ES"/>
    </w:rPr>
  </w:style>
  <w:style w:type="paragraph" w:customStyle="1" w:styleId="p1">
    <w:name w:val="p1"/>
    <w:basedOn w:val="Normal"/>
    <w:rsid w:val="00096ECF"/>
    <w:pPr>
      <w:spacing w:after="280"/>
    </w:pPr>
    <w:rPr>
      <w:rFonts w:ascii="Times New Roman" w:eastAsia="Times New Roman" w:hAnsi="Times New Roman" w:cs="Times New Roman"/>
      <w:sz w:val="24"/>
      <w:szCs w:val="24"/>
      <w:lang w:eastAsia="es-ES"/>
    </w:rPr>
  </w:style>
  <w:style w:type="paragraph" w:customStyle="1" w:styleId="footnote20text">
    <w:name w:val="footnote_20_text"/>
    <w:basedOn w:val="Normal"/>
    <w:rsid w:val="00096ECF"/>
    <w:pPr>
      <w:spacing w:after="280"/>
    </w:pPr>
    <w:rPr>
      <w:rFonts w:ascii="Times New Roman" w:eastAsia="Times New Roman" w:hAnsi="Times New Roman" w:cs="Times New Roman"/>
      <w:sz w:val="24"/>
      <w:szCs w:val="24"/>
      <w:lang w:eastAsia="es-ES"/>
    </w:rPr>
  </w:style>
  <w:style w:type="paragraph" w:styleId="CommentText">
    <w:name w:val="annotation text"/>
    <w:basedOn w:val="Normal"/>
    <w:link w:val="CommentTextChar"/>
    <w:uiPriority w:val="99"/>
    <w:semiHidden/>
    <w:unhideWhenUsed/>
    <w:rsid w:val="00982588"/>
    <w:pPr>
      <w:spacing w:line="240" w:lineRule="auto"/>
    </w:pPr>
    <w:rPr>
      <w:sz w:val="20"/>
      <w:szCs w:val="20"/>
    </w:rPr>
  </w:style>
  <w:style w:type="paragraph" w:styleId="CommentSubject">
    <w:name w:val="annotation subject"/>
    <w:basedOn w:val="CommentText"/>
    <w:link w:val="CommentSubjectChar"/>
    <w:uiPriority w:val="99"/>
    <w:semiHidden/>
    <w:unhideWhenUsed/>
    <w:rsid w:val="00982588"/>
    <w:rPr>
      <w:b/>
      <w:bCs/>
    </w:rPr>
  </w:style>
  <w:style w:type="paragraph" w:styleId="BalloonText">
    <w:name w:val="Balloon Text"/>
    <w:basedOn w:val="Normal"/>
    <w:link w:val="BalloonTextChar"/>
    <w:uiPriority w:val="99"/>
    <w:semiHidden/>
    <w:unhideWhenUsed/>
    <w:rsid w:val="00982588"/>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2pfoundation.net/Utilicontributism" TargetMode="External"/><Relationship Id="rId5" Type="http://schemas.openxmlformats.org/officeDocument/2006/relationships/hyperlink" Target="http://knowfuture.wordpress.com/2007/11/22/copyfarleft-an-anarchist-gem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9192-7A64-4FA1-BED8-DDEEC9F9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4831</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dc:creator>
  <cp:lastModifiedBy>Hot Dog!</cp:lastModifiedBy>
  <cp:revision>2</cp:revision>
  <dcterms:created xsi:type="dcterms:W3CDTF">2014-11-24T20:00:00Z</dcterms:created>
  <dcterms:modified xsi:type="dcterms:W3CDTF">2014-11-24T20:00:00Z</dcterms:modified>
  <dc:language>es-ES</dc:language>
</cp:coreProperties>
</file>